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317" w:rsidRDefault="00344317" w:rsidP="00344317">
      <w:pPr>
        <w:spacing w:line="360" w:lineRule="auto"/>
        <w:rPr>
          <w:lang w:val="en-GB"/>
        </w:rPr>
      </w:pPr>
      <w:bookmarkStart w:id="0" w:name="_GoBack"/>
      <w:bookmarkEnd w:id="0"/>
      <w:r>
        <w:rPr>
          <w:lang w:val="en-GB"/>
        </w:rPr>
        <w:t>WEB-APPENDIX</w:t>
      </w:r>
    </w:p>
    <w:p w:rsidR="00344317" w:rsidRDefault="00344317" w:rsidP="00344317">
      <w:pPr>
        <w:autoSpaceDE w:val="0"/>
        <w:autoSpaceDN w:val="0"/>
        <w:adjustRightInd w:val="0"/>
        <w:rPr>
          <w:lang w:val="en-US"/>
        </w:rPr>
      </w:pPr>
    </w:p>
    <w:p w:rsidR="002F0517" w:rsidRDefault="00344317" w:rsidP="00344317">
      <w:pPr>
        <w:rPr>
          <w:lang w:val="en-US"/>
        </w:rPr>
      </w:pPr>
      <w:r>
        <w:rPr>
          <w:lang w:val="en-US"/>
        </w:rPr>
        <w:t xml:space="preserve">Table A1 </w:t>
      </w:r>
      <w:r>
        <w:rPr>
          <w:lang w:val="en-GB"/>
        </w:rPr>
        <w:t>List of Variables used in the analyses</w:t>
      </w:r>
    </w:p>
    <w:p w:rsidR="00344317" w:rsidRPr="002F0517" w:rsidRDefault="002F0517" w:rsidP="002F0517">
      <w:pPr>
        <w:tabs>
          <w:tab w:val="left" w:pos="6555"/>
        </w:tabs>
        <w:rPr>
          <w:lang w:val="en-US"/>
        </w:rPr>
      </w:pPr>
      <w:r>
        <w:rPr>
          <w:lang w:val="en-US"/>
        </w:rPr>
        <w:tab/>
      </w:r>
    </w:p>
    <w:tbl>
      <w:tblPr>
        <w:tblpPr w:leftFromText="851" w:rightFromText="851" w:vertAnchor="text" w:horzAnchor="margin" w:tblpXSpec="center" w:tblpY="500"/>
        <w:tblW w:w="0" w:type="auto"/>
        <w:tblBorders>
          <w:top w:val="single" w:sz="12" w:space="0" w:color="000000"/>
          <w:left w:val="nil"/>
          <w:bottom w:val="single" w:sz="12" w:space="0" w:color="000000"/>
          <w:right w:val="nil"/>
          <w:insideH w:val="nil"/>
          <w:insideV w:val="nil"/>
        </w:tblBorders>
        <w:tblCellMar>
          <w:left w:w="70" w:type="dxa"/>
          <w:right w:w="70" w:type="dxa"/>
        </w:tblCellMar>
        <w:tblLook w:val="00A0" w:firstRow="1" w:lastRow="0" w:firstColumn="1" w:lastColumn="0" w:noHBand="0" w:noVBand="0"/>
      </w:tblPr>
      <w:tblGrid>
        <w:gridCol w:w="1171"/>
        <w:gridCol w:w="4987"/>
        <w:gridCol w:w="694"/>
        <w:gridCol w:w="868"/>
        <w:gridCol w:w="667"/>
        <w:gridCol w:w="825"/>
      </w:tblGrid>
      <w:tr w:rsidR="00344317" w:rsidRPr="00B41A1C" w:rsidTr="00354078">
        <w:trPr>
          <w:cantSplit/>
          <w:trHeight w:val="300"/>
          <w:tblHeader/>
        </w:trPr>
        <w:tc>
          <w:tcPr>
            <w:tcW w:w="1080" w:type="dxa"/>
            <w:tcBorders>
              <w:top w:val="single" w:sz="12" w:space="0" w:color="000000"/>
              <w:bottom w:val="single" w:sz="12" w:space="0" w:color="000000"/>
              <w:right w:val="single" w:sz="6" w:space="0" w:color="000000"/>
            </w:tcBorders>
            <w:shd w:val="clear" w:color="auto" w:fill="auto"/>
            <w:noWrap/>
            <w:vAlign w:val="center"/>
          </w:tcPr>
          <w:p w:rsidR="00344317" w:rsidRPr="00B41A1C" w:rsidRDefault="00344317" w:rsidP="001C146D">
            <w:pPr>
              <w:jc w:val="center"/>
              <w:rPr>
                <w:rFonts w:eastAsia="Times New Roman"/>
                <w:i/>
                <w:sz w:val="20"/>
                <w:szCs w:val="20"/>
                <w:lang w:eastAsia="de-CH"/>
              </w:rPr>
            </w:pPr>
            <w:r w:rsidRPr="00B41A1C">
              <w:rPr>
                <w:rFonts w:eastAsia="Times New Roman"/>
                <w:i/>
                <w:sz w:val="20"/>
                <w:szCs w:val="20"/>
                <w:lang w:eastAsia="de-CH"/>
              </w:rPr>
              <w:t>Variable</w:t>
            </w:r>
          </w:p>
        </w:tc>
        <w:tc>
          <w:tcPr>
            <w:tcW w:w="4560" w:type="dxa"/>
            <w:tcBorders>
              <w:top w:val="single" w:sz="12" w:space="0" w:color="000000"/>
              <w:left w:val="single" w:sz="6" w:space="0" w:color="000000"/>
              <w:bottom w:val="single" w:sz="12" w:space="0" w:color="000000"/>
            </w:tcBorders>
            <w:shd w:val="clear" w:color="auto" w:fill="auto"/>
            <w:noWrap/>
            <w:vAlign w:val="center"/>
          </w:tcPr>
          <w:p w:rsidR="00344317" w:rsidRPr="00B41A1C" w:rsidRDefault="00344317" w:rsidP="001C146D">
            <w:pPr>
              <w:jc w:val="center"/>
              <w:rPr>
                <w:rFonts w:eastAsia="Times New Roman"/>
                <w:i/>
                <w:sz w:val="20"/>
                <w:szCs w:val="20"/>
                <w:lang w:eastAsia="de-CH"/>
              </w:rPr>
            </w:pPr>
            <w:r w:rsidRPr="00B41A1C">
              <w:rPr>
                <w:rFonts w:eastAsia="Times New Roman"/>
                <w:i/>
                <w:sz w:val="20"/>
                <w:szCs w:val="20"/>
                <w:lang w:eastAsia="de-CH"/>
              </w:rPr>
              <w:t>Source</w:t>
            </w:r>
          </w:p>
        </w:tc>
        <w:tc>
          <w:tcPr>
            <w:tcW w:w="809" w:type="dxa"/>
            <w:tcBorders>
              <w:top w:val="single" w:sz="12" w:space="0" w:color="000000"/>
              <w:bottom w:val="single" w:sz="12" w:space="0" w:color="000000"/>
            </w:tcBorders>
            <w:shd w:val="clear" w:color="auto" w:fill="auto"/>
            <w:noWrap/>
            <w:vAlign w:val="center"/>
          </w:tcPr>
          <w:p w:rsidR="00344317" w:rsidRPr="00B41A1C" w:rsidRDefault="00344317" w:rsidP="001C146D">
            <w:pPr>
              <w:jc w:val="center"/>
              <w:rPr>
                <w:rFonts w:eastAsia="Times New Roman"/>
                <w:i/>
                <w:sz w:val="20"/>
                <w:szCs w:val="20"/>
                <w:lang w:eastAsia="de-CH"/>
              </w:rPr>
            </w:pPr>
            <w:proofErr w:type="spellStart"/>
            <w:r w:rsidRPr="00B41A1C">
              <w:rPr>
                <w:rFonts w:eastAsia="Times New Roman"/>
                <w:i/>
                <w:sz w:val="20"/>
                <w:szCs w:val="20"/>
                <w:lang w:eastAsia="de-CH"/>
              </w:rPr>
              <w:t>Mean</w:t>
            </w:r>
            <w:proofErr w:type="spellEnd"/>
          </w:p>
        </w:tc>
        <w:tc>
          <w:tcPr>
            <w:tcW w:w="1019" w:type="dxa"/>
            <w:tcBorders>
              <w:top w:val="single" w:sz="12" w:space="0" w:color="000000"/>
              <w:bottom w:val="single" w:sz="12" w:space="0" w:color="000000"/>
            </w:tcBorders>
            <w:shd w:val="clear" w:color="auto" w:fill="auto"/>
            <w:noWrap/>
            <w:vAlign w:val="center"/>
          </w:tcPr>
          <w:p w:rsidR="00344317" w:rsidRPr="00B41A1C" w:rsidRDefault="00344317" w:rsidP="001C146D">
            <w:pPr>
              <w:jc w:val="center"/>
              <w:rPr>
                <w:rFonts w:eastAsia="Times New Roman"/>
                <w:i/>
                <w:sz w:val="20"/>
                <w:szCs w:val="20"/>
                <w:lang w:eastAsia="de-CH"/>
              </w:rPr>
            </w:pPr>
            <w:r w:rsidRPr="00B41A1C">
              <w:rPr>
                <w:rFonts w:eastAsia="Times New Roman"/>
                <w:i/>
                <w:sz w:val="20"/>
                <w:szCs w:val="20"/>
                <w:lang w:eastAsia="de-CH"/>
              </w:rPr>
              <w:t xml:space="preserve">Std. </w:t>
            </w:r>
            <w:proofErr w:type="spellStart"/>
            <w:r w:rsidRPr="00B41A1C">
              <w:rPr>
                <w:rFonts w:eastAsia="Times New Roman"/>
                <w:i/>
                <w:sz w:val="20"/>
                <w:szCs w:val="20"/>
                <w:lang w:eastAsia="de-CH"/>
              </w:rPr>
              <w:t>Dev</w:t>
            </w:r>
            <w:proofErr w:type="spellEnd"/>
            <w:r w:rsidRPr="00B41A1C">
              <w:rPr>
                <w:rFonts w:eastAsia="Times New Roman"/>
                <w:i/>
                <w:sz w:val="20"/>
                <w:szCs w:val="20"/>
                <w:lang w:eastAsia="de-CH"/>
              </w:rPr>
              <w:t>.</w:t>
            </w:r>
          </w:p>
        </w:tc>
        <w:tc>
          <w:tcPr>
            <w:tcW w:w="777" w:type="dxa"/>
            <w:tcBorders>
              <w:top w:val="single" w:sz="12" w:space="0" w:color="000000"/>
              <w:bottom w:val="single" w:sz="12" w:space="0" w:color="000000"/>
            </w:tcBorders>
            <w:shd w:val="clear" w:color="auto" w:fill="auto"/>
            <w:noWrap/>
            <w:vAlign w:val="center"/>
          </w:tcPr>
          <w:p w:rsidR="00344317" w:rsidRPr="00B41A1C" w:rsidRDefault="00344317" w:rsidP="001C146D">
            <w:pPr>
              <w:jc w:val="center"/>
              <w:rPr>
                <w:rFonts w:eastAsia="Times New Roman"/>
                <w:i/>
                <w:sz w:val="20"/>
                <w:szCs w:val="20"/>
                <w:lang w:eastAsia="de-CH"/>
              </w:rPr>
            </w:pPr>
            <w:r w:rsidRPr="00B41A1C">
              <w:rPr>
                <w:rFonts w:eastAsia="Times New Roman"/>
                <w:i/>
                <w:sz w:val="20"/>
                <w:szCs w:val="20"/>
                <w:lang w:eastAsia="de-CH"/>
              </w:rPr>
              <w:t>Min</w:t>
            </w:r>
          </w:p>
        </w:tc>
        <w:tc>
          <w:tcPr>
            <w:tcW w:w="967" w:type="dxa"/>
            <w:tcBorders>
              <w:top w:val="single" w:sz="12" w:space="0" w:color="000000"/>
              <w:bottom w:val="single" w:sz="12" w:space="0" w:color="000000"/>
            </w:tcBorders>
            <w:shd w:val="clear" w:color="auto" w:fill="auto"/>
            <w:noWrap/>
            <w:vAlign w:val="center"/>
          </w:tcPr>
          <w:p w:rsidR="00344317" w:rsidRPr="00B41A1C" w:rsidRDefault="00344317" w:rsidP="001C146D">
            <w:pPr>
              <w:jc w:val="center"/>
              <w:rPr>
                <w:rFonts w:eastAsia="Times New Roman"/>
                <w:i/>
                <w:sz w:val="20"/>
                <w:szCs w:val="20"/>
                <w:lang w:eastAsia="de-CH"/>
              </w:rPr>
            </w:pPr>
            <w:r w:rsidRPr="00B41A1C">
              <w:rPr>
                <w:rFonts w:eastAsia="Times New Roman"/>
                <w:i/>
                <w:sz w:val="20"/>
                <w:szCs w:val="20"/>
                <w:lang w:eastAsia="de-CH"/>
              </w:rPr>
              <w:t>Max</w:t>
            </w:r>
          </w:p>
        </w:tc>
      </w:tr>
      <w:tr w:rsidR="00344317" w:rsidRPr="00B41A1C" w:rsidTr="00354078">
        <w:trPr>
          <w:cantSplit/>
          <w:trHeight w:val="300"/>
          <w:tblHeader/>
        </w:trPr>
        <w:tc>
          <w:tcPr>
            <w:tcW w:w="1080" w:type="dxa"/>
            <w:tcBorders>
              <w:top w:val="single" w:sz="1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eastAsia="de-CH"/>
              </w:rPr>
            </w:pPr>
            <w:r w:rsidRPr="00B41A1C">
              <w:rPr>
                <w:sz w:val="20"/>
                <w:szCs w:val="20"/>
                <w:lang w:val="en-GB"/>
              </w:rPr>
              <w:t xml:space="preserve">% </w:t>
            </w:r>
            <w:proofErr w:type="spellStart"/>
            <w:r w:rsidRPr="00B41A1C">
              <w:rPr>
                <w:sz w:val="20"/>
                <w:szCs w:val="20"/>
                <w:lang w:val="en-GB"/>
              </w:rPr>
              <w:t>empl</w:t>
            </w:r>
            <w:proofErr w:type="spellEnd"/>
            <w:r w:rsidRPr="00B41A1C">
              <w:rPr>
                <w:sz w:val="20"/>
                <w:szCs w:val="20"/>
                <w:lang w:val="en-GB"/>
              </w:rPr>
              <w:t xml:space="preserve"> agric.</w:t>
            </w:r>
          </w:p>
        </w:tc>
        <w:tc>
          <w:tcPr>
            <w:tcW w:w="4560" w:type="dxa"/>
            <w:tcBorders>
              <w:top w:val="single" w:sz="12" w:space="0" w:color="000000"/>
              <w:left w:val="single" w:sz="6" w:space="0" w:color="000000"/>
              <w:bottom w:val="single" w:sz="2" w:space="0" w:color="000000"/>
            </w:tcBorders>
            <w:shd w:val="clear" w:color="auto" w:fill="auto"/>
            <w:noWrap/>
          </w:tcPr>
          <w:p w:rsidR="00344317" w:rsidRPr="00B41A1C" w:rsidRDefault="00344317" w:rsidP="001C146D">
            <w:pPr>
              <w:ind w:right="782"/>
              <w:rPr>
                <w:rFonts w:eastAsia="Times New Roman"/>
                <w:sz w:val="20"/>
                <w:szCs w:val="20"/>
                <w:lang w:val="en-US" w:eastAsia="de-CH"/>
              </w:rPr>
            </w:pPr>
            <w:r w:rsidRPr="00B41A1C">
              <w:rPr>
                <w:rFonts w:eastAsia="Times New Roman"/>
                <w:sz w:val="20"/>
                <w:szCs w:val="20"/>
                <w:lang w:val="en-US" w:eastAsia="de-CH"/>
              </w:rPr>
              <w:t xml:space="preserve">Yearly Employment in agriculture (% of total employment)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&lt;EndNote&gt;&lt;Cite&gt;&lt;Author&gt;World Bank&lt;/Author&gt;&lt;Year&gt;2011&lt;/Year&gt;&lt;RecNum&gt;3&lt;/RecNum&gt;&lt;DisplayText&gt;(World Bank 2011)&lt;/DisplayText&gt;&lt;record&gt;&lt;rec-number&gt;3&lt;/rec-number&gt;&lt;foreign-keys&gt;&lt;key app="EN" db-id="zpxadvfp5rrx0je2daaxz92j2rt990wawvrf"&gt;3&lt;/key&gt;&lt;/foreign-keys&gt;&lt;ref-type name="Online Database"&gt;45&lt;/ref-type&gt;&lt;contributors&gt;&lt;authors&gt;&lt;author&gt;World Bank,&lt;/author&gt;&lt;/authors&gt;&lt;/contributors&gt;&lt;titles&gt;&lt;title&gt;World Development Indicators&lt;/title&gt;&lt;/titles&gt;&lt;dates&gt;&lt;year&gt;2011&lt;/year&gt;&lt;/dates&gt;&lt;publisher&gt;Washington, DC: World Bank&lt;/publisher&gt;&lt;urls&gt;&lt;/urls&gt;&lt;/record&gt;&lt;/Cite&gt;&lt;/EndNote&gt;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75" w:tooltip="World Bank, 2011 #3" w:history="1">
              <w:r w:rsidRPr="00B41A1C">
                <w:rPr>
                  <w:rFonts w:eastAsia="Times New Roman"/>
                  <w:noProof/>
                  <w:sz w:val="20"/>
                  <w:szCs w:val="20"/>
                  <w:lang w:val="en-US" w:eastAsia="de-CH"/>
                </w:rPr>
                <w:t>World Bank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1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6.20</w:t>
            </w:r>
          </w:p>
        </w:tc>
        <w:tc>
          <w:tcPr>
            <w:tcW w:w="1019" w:type="dxa"/>
            <w:tcBorders>
              <w:top w:val="single" w:sz="1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5.33</w:t>
            </w:r>
          </w:p>
        </w:tc>
        <w:tc>
          <w:tcPr>
            <w:tcW w:w="777" w:type="dxa"/>
            <w:tcBorders>
              <w:top w:val="single" w:sz="1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1.3</w:t>
            </w:r>
          </w:p>
        </w:tc>
        <w:tc>
          <w:tcPr>
            <w:tcW w:w="967" w:type="dxa"/>
            <w:tcBorders>
              <w:top w:val="single" w:sz="1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30.5</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eastAsia="de-CH"/>
              </w:rPr>
            </w:pPr>
            <w:r w:rsidRPr="00B41A1C">
              <w:rPr>
                <w:sz w:val="20"/>
                <w:szCs w:val="20"/>
                <w:lang w:val="en-GB"/>
              </w:rPr>
              <w:t xml:space="preserve">% </w:t>
            </w:r>
            <w:proofErr w:type="spellStart"/>
            <w:r w:rsidRPr="00B41A1C">
              <w:rPr>
                <w:sz w:val="20"/>
                <w:szCs w:val="20"/>
                <w:lang w:val="en-GB"/>
              </w:rPr>
              <w:t>empl</w:t>
            </w:r>
            <w:proofErr w:type="spellEnd"/>
            <w:r w:rsidRPr="00B41A1C">
              <w:rPr>
                <w:sz w:val="20"/>
                <w:szCs w:val="20"/>
                <w:lang w:val="en-GB"/>
              </w:rPr>
              <w:t xml:space="preserve"> service</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Yearly Employment in services (% of total employment)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&lt;EndNote&gt;&lt;Cite&gt;&lt;Author&gt;World Bank&lt;/Author&gt;&lt;Year&gt;2011&lt;/Year&gt;&lt;RecNum&gt;3&lt;/RecNum&gt;&lt;DisplayText&gt;(World Bank 2011)&lt;/DisplayText&gt;&lt;record&gt;&lt;rec-number&gt;3&lt;/rec-number&gt;&lt;foreign-keys&gt;&lt;key app="EN" db-id="zpxadvfp5rrx0je2daaxz92j2rt990wawvrf"&gt;3&lt;/key&gt;&lt;/foreign-keys&gt;&lt;ref-type name="Online Database"&gt;45&lt;/ref-type&gt;&lt;contributors&gt;&lt;authors&gt;&lt;author&gt;World Bank,&lt;/author&gt;&lt;/authors&gt;&lt;/contributors&gt;&lt;titles&gt;&lt;title&gt;World Development Indicators&lt;/title&gt;&lt;/titles&gt;&lt;dates&gt;&lt;year&gt;2011&lt;/year&gt;&lt;/dates&gt;&lt;publisher&gt;Washington, DC: World Bank&lt;/publisher&gt;&lt;urls&gt;&lt;/urls&gt;&lt;/record&gt;&lt;/Cite&gt;&lt;/EndNote&gt;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75" w:tooltip="World Bank, 2011 #3" w:history="1">
              <w:r w:rsidRPr="00B41A1C">
                <w:rPr>
                  <w:rFonts w:eastAsia="Times New Roman"/>
                  <w:noProof/>
                  <w:sz w:val="20"/>
                  <w:szCs w:val="20"/>
                  <w:lang w:val="en-US" w:eastAsia="de-CH"/>
                </w:rPr>
                <w:t>World Bank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65.20</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8.14</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38.8</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77.7</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Unemployment Rate</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Yearly Unemployment Rate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&lt;EndNote&gt;&lt;Cite&gt;&lt;Author&gt;World Bank&lt;/Author&gt;&lt;Year&gt;2011&lt;/Year&gt;&lt;RecNum&gt;3&lt;/RecNum&gt;&lt;DisplayText&gt;(World Bank 2011)&lt;/DisplayText&gt;&lt;record&gt;&lt;rec-number&gt;3&lt;/rec-number&gt;&lt;foreign-keys&gt;&lt;key app="EN" db-id="zpxadvfp5rrx0je2daaxz92j2rt990wawvrf"&gt;3&lt;/key&gt;&lt;/foreign-keys&gt;&lt;ref-type name="Online Database"&gt;45&lt;/ref-type&gt;&lt;contributors&gt;&lt;authors&gt;&lt;author&gt;World Bank,&lt;/author&gt;&lt;/authors&gt;&lt;/contributors&gt;&lt;titles&gt;&lt;title&gt;World Development Indicators&lt;/title&gt;&lt;/titles&gt;&lt;dates&gt;&lt;year&gt;2011&lt;/year&gt;&lt;/dates&gt;&lt;publisher&gt;Washington, DC: World Bank&lt;/publisher&gt;&lt;urls&gt;&lt;/urls&gt;&lt;/record&gt;&lt;/Cite&gt;&lt;/EndNote&gt;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75" w:tooltip="World Bank, 2011 #3" w:history="1">
              <w:r w:rsidRPr="00B41A1C">
                <w:rPr>
                  <w:rFonts w:eastAsia="Times New Roman"/>
                  <w:noProof/>
                  <w:sz w:val="20"/>
                  <w:szCs w:val="20"/>
                  <w:lang w:val="en-US" w:eastAsia="de-CH"/>
                </w:rPr>
                <w:t>World Bank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7.10</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2.83</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2.8</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19.6</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eastAsia="de-CH"/>
              </w:rPr>
            </w:pPr>
            <w:r w:rsidRPr="00B41A1C">
              <w:rPr>
                <w:sz w:val="20"/>
                <w:szCs w:val="20"/>
                <w:lang w:val="en-GB"/>
              </w:rPr>
              <w:t>Rigidity Employment Index</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Yearly rigidity of employment index (0=less rigid to 100=more rigid)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&lt;EndNote&gt;&lt;Cite&gt;&lt;Author&gt;World Bank&lt;/Author&gt;&lt;Year&gt;2011&lt;/Year&gt;&lt;RecNum&gt;3&lt;/RecNum&gt;&lt;DisplayText&gt;(World Bank 2011)&lt;/DisplayText&gt;&lt;record&gt;&lt;rec-number&gt;3&lt;/rec-number&gt;&lt;foreign-keys&gt;&lt;key app="EN" db-id="zpxadvfp5rrx0je2daaxz92j2rt990wawvrf"&gt;3&lt;/key&gt;&lt;/foreign-keys&gt;&lt;ref-type name="Online Database"&gt;45&lt;/ref-type&gt;&lt;contributors&gt;&lt;authors&gt;&lt;author&gt;World Bank,&lt;/author&gt;&lt;/authors&gt;&lt;/contributors&gt;&lt;titles&gt;&lt;title&gt;World Development Indicators&lt;/title&gt;&lt;/titles&gt;&lt;dates&gt;&lt;year&gt;2011&lt;/year&gt;&lt;/dates&gt;&lt;publisher&gt;Washington, DC: World Bank&lt;/publisher&gt;&lt;urls&gt;&lt;/urls&gt;&lt;/record&gt;&lt;/Cite&gt;&lt;/EndNote&gt;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75" w:tooltip="World Bank, 2011 #3" w:history="1">
              <w:r w:rsidRPr="00B41A1C">
                <w:rPr>
                  <w:rFonts w:eastAsia="Times New Roman"/>
                  <w:noProof/>
                  <w:sz w:val="20"/>
                  <w:szCs w:val="20"/>
                  <w:lang w:val="en-US" w:eastAsia="de-CH"/>
                </w:rPr>
                <w:t>World Bank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42.21</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14.93</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7</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66</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eastAsia="de-CH"/>
              </w:rPr>
            </w:pPr>
            <w:r w:rsidRPr="00B41A1C">
              <w:rPr>
                <w:sz w:val="20"/>
                <w:szCs w:val="20"/>
                <w:lang w:val="en-GB"/>
              </w:rPr>
              <w:t>Log GDP per cap</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Yearly Log of GDP per capita, PPP (constant 2005 international $),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&lt;EndNote&gt;&lt;Cite&gt;&lt;Author&gt;World Bank&lt;/Author&gt;&lt;Year&gt;2011&lt;/Year&gt;&lt;RecNum&gt;3&lt;/RecNum&gt;&lt;DisplayText&gt;(World Bank 2011)&lt;/DisplayText&gt;&lt;record&gt;&lt;rec-number&gt;3&lt;/rec-number&gt;&lt;foreign-keys&gt;&lt;key app="EN" db-id="zpxadvfp5rrx0je2daaxz92j2rt990wawvrf"&gt;3&lt;/key&gt;&lt;/foreign-keys&gt;&lt;ref-type name="Online Database"&gt;45&lt;/ref-type&gt;&lt;contributors&gt;&lt;authors&gt;&lt;author&gt;World Bank,&lt;/author&gt;&lt;/authors&gt;&lt;/contributors&gt;&lt;titles&gt;&lt;title&gt;World Development Indicators&lt;/title&gt;&lt;/titles&gt;&lt;dates&gt;&lt;year&gt;2011&lt;/year&gt;&lt;/dates&gt;&lt;publisher&gt;Washington, DC: World Bank&lt;/publisher&gt;&lt;urls&gt;&lt;/urls&gt;&lt;/record&gt;&lt;/Cite&gt;&lt;/EndNote&gt;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75" w:tooltip="World Bank, 2011 #3" w:history="1">
              <w:r w:rsidRPr="00B41A1C">
                <w:rPr>
                  <w:rFonts w:eastAsia="Times New Roman"/>
                  <w:noProof/>
                  <w:sz w:val="20"/>
                  <w:szCs w:val="20"/>
                  <w:lang w:val="en-US" w:eastAsia="de-CH"/>
                </w:rPr>
                <w:t>World Bank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10.13</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0.40</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9.22</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11.21</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eastAsia="de-CH"/>
              </w:rPr>
            </w:pPr>
            <w:r w:rsidRPr="00B41A1C">
              <w:rPr>
                <w:sz w:val="20"/>
                <w:szCs w:val="20"/>
                <w:lang w:val="en-GB"/>
              </w:rPr>
              <w:t>Ratio annual EU Spending</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C973E6" w:rsidP="001C146D">
            <w:pPr>
              <w:rPr>
                <w:rFonts w:eastAsia="Times New Roman"/>
                <w:sz w:val="20"/>
                <w:szCs w:val="20"/>
                <w:lang w:val="en-US" w:eastAsia="de-CH"/>
              </w:rPr>
            </w:pPr>
            <w:hyperlink r:id="rId8" w:history="1">
              <w:r w:rsidR="00344317" w:rsidRPr="00B41A1C">
                <w:rPr>
                  <w:rFonts w:eastAsia="Times New Roman"/>
                  <w:sz w:val="20"/>
                  <w:szCs w:val="20"/>
                  <w:lang w:val="en-US" w:eastAsia="de-CH"/>
                </w:rPr>
                <w:t>Ratio of annual EU Spending in the country to annual Contribution from the state, EU Budget 2007-13. (Source: Open Europe Website: http://www.openeurope.org.uk/research)</w:t>
              </w:r>
            </w:hyperlink>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2.21</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1.70</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0.35</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5.29</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eastAsia="de-CH"/>
              </w:rPr>
            </w:pPr>
            <w:proofErr w:type="spellStart"/>
            <w:r w:rsidRPr="00B41A1C">
              <w:rPr>
                <w:sz w:val="20"/>
                <w:szCs w:val="20"/>
                <w:lang w:val="en-GB"/>
              </w:rPr>
              <w:t>Vetoplayer</w:t>
            </w:r>
            <w:proofErr w:type="spellEnd"/>
            <w:r w:rsidRPr="00B41A1C">
              <w:rPr>
                <w:sz w:val="20"/>
                <w:szCs w:val="20"/>
                <w:lang w:val="en-GB"/>
              </w:rPr>
              <w:t xml:space="preserve"> Index</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Number of Veto Players in the domestic political sphere, measured on an ordinal scale from 0 (= no veto players) to 4 (= required referendum, optional referendum initiated by existing veto player, optional referendum initiated by citizens and popular initiatives).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&lt;EndNote&gt;&lt;Cite&gt;&lt;Author&gt;Hug&lt;/Author&gt;&lt;Year&gt;2002&lt;/Year&gt;&lt;RecNum&gt;1452&lt;/RecNum&gt;&lt;DisplayText&gt;(Hug and Tsebelis 2002; Armingeon et al. 2009)&lt;/DisplayText&gt;&lt;record&gt;&lt;rec-number&gt;1452&lt;/rec-number&gt;&lt;foreign-keys&gt;&lt;key app="EN" db-id="wza5w9vx3za5tbetsas55dp5xvfvzxw22rxw"&gt;1452&lt;/key&gt;&lt;/foreign-keys&gt;&lt;ref-type name="Journal Article"&gt;17&lt;/ref-type&gt;&lt;contributors&gt;&lt;authors&gt;&lt;author&gt;Hug, Simon&lt;/author&gt;&lt;author&gt;Tsebelis, George&lt;/author&gt;&lt;/authors&gt;&lt;/contributors&gt;&lt;titles&gt;&lt;title&gt;Veto players and referendums around the world&lt;/title&gt;&lt;secondary-title&gt;Journal of Theoretical Politics&lt;/secondary-title&gt;&lt;/titles&gt;&lt;periodical&gt;&lt;full-title&gt;Journal of Theoretical Politics&lt;/full-title&gt;&lt;/periodical&gt;&lt;pages&gt;465&lt;/pages&gt;&lt;volume&gt;14&lt;/volume&gt;&lt;number&gt;4&lt;/number&gt;&lt;dates&gt;&lt;year&gt;2002&lt;/year&gt;&lt;/dates&gt;&lt;urls&gt;&lt;/urls&gt;&lt;/record&gt;&lt;/Cite&gt;&lt;Cite&gt;&lt;Author&gt;Armingeon&lt;/Author&gt;&lt;Year&gt;2009&lt;/Year&gt;&lt;RecNum&gt;1453&lt;/RecNum&gt;&lt;record&gt;&lt;rec-number&gt;1453&lt;/rec-number&gt;&lt;foreign-keys&gt;&lt;key app="EN" db-id="wza5w9vx3za5tbetsas55dp5xvfvzxw22rxw"&gt;1453&lt;/key&gt;&lt;/foreign-keys&gt;&lt;ref-type name="Journal Article"&gt;17&lt;/ref-type&gt;&lt;contributors&gt;&lt;authors&gt;&lt;author&gt;Armingeon, Klaus&lt;/author&gt;&lt;author&gt;Careja, Romana&lt;/author&gt;&lt;author&gt;Potolidis, Panajotis&lt;/author&gt;&lt;author&gt;Gerber, Marlène&lt;/author&gt;&lt;author&gt;Leimgruber, Philipp&lt;/author&gt;&lt;/authors&gt;&lt;/contributors&gt;&lt;titles&gt;&lt;title&gt;Comparative Political Data Set III 1990–2007&lt;/title&gt;&lt;secondary-title&gt;Institute of Political Science, University of Berne&lt;/secondary-title&gt;&lt;/titles&gt;&lt;periodical&gt;&lt;full-title&gt;Institute of Political Science, University of Berne&lt;/full-title&gt;&lt;/periodical&gt;&lt;dates&gt;&lt;year&gt;2009&lt;/year&gt;&lt;/dates&gt;&lt;urls&gt;&lt;/urls&gt;&lt;/record&gt;&lt;/Cite&gt;&lt;/EndNote&gt;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24" w:tooltip="Hug, 2002 #1452" w:history="1">
              <w:r w:rsidRPr="00B41A1C">
                <w:rPr>
                  <w:rFonts w:eastAsia="Times New Roman"/>
                  <w:noProof/>
                  <w:sz w:val="20"/>
                  <w:szCs w:val="20"/>
                  <w:lang w:val="en-US" w:eastAsia="de-CH"/>
                </w:rPr>
                <w:t>Hug and Tsebelis 2002</w:t>
              </w:r>
            </w:hyperlink>
            <w:r w:rsidRPr="00B41A1C">
              <w:rPr>
                <w:rFonts w:eastAsia="Times New Roman"/>
                <w:noProof/>
                <w:sz w:val="20"/>
                <w:szCs w:val="20"/>
                <w:lang w:val="en-US" w:eastAsia="de-CH"/>
              </w:rPr>
              <w:t xml:space="preserve">; </w:t>
            </w:r>
            <w:hyperlink w:anchor="_ENREF_2" w:tooltip="Armingeon, 2009 #1453" w:history="1">
              <w:r w:rsidRPr="00B41A1C">
                <w:rPr>
                  <w:rFonts w:eastAsia="Times New Roman"/>
                  <w:noProof/>
                  <w:sz w:val="20"/>
                  <w:szCs w:val="20"/>
                  <w:lang w:val="en-US" w:eastAsia="de-CH"/>
                </w:rPr>
                <w:t>Armingeon et al. 2009</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r w:rsidRPr="00B41A1C">
              <w:rPr>
                <w:rFonts w:eastAsia="Times New Roman"/>
                <w:sz w:val="20"/>
                <w:szCs w:val="20"/>
                <w:lang w:val="en-US" w:eastAsia="de-CH"/>
              </w:rPr>
              <w:t xml:space="preserve">} </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1.34</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1.12</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3</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val="en-US" w:eastAsia="de-CH"/>
              </w:rPr>
            </w:pPr>
            <w:r w:rsidRPr="00B41A1C">
              <w:rPr>
                <w:sz w:val="20"/>
                <w:szCs w:val="20"/>
                <w:lang w:val="en-GB"/>
              </w:rPr>
              <w:t>Government Left Right Position</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Average proportional position of coalition partners on left-right scale (coalition party strengths in parliament), who were in executive office at the time of the vote. Left-right scale between 1 (left) -10 (right). Derived from Döring and Manow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 ExcludeAuth="1"&gt;&lt;Author&gt;Döring&lt;/Author&gt;&lt;Year&gt;2010. Parliament and government composition database (ParlGov): An infrastructure for empirical information on political institutions&lt;/Year&gt;&lt;RecNum&gt;1822&lt;/RecNum&gt;&lt;DisplayText&gt;( 2010)&lt;/DisplayText&gt;&lt;record&gt;&lt;rec-number&gt;1822&lt;/rec-number&gt;&lt;foreign-keys&gt;&lt;key app="EN" db-id="wza5w9vx3za5tbetsas55dp5xvfvzxw22rxw"&gt;1822&lt;/key&gt;&lt;/foreign-keys&gt;&lt;ref-type name="Journal Article"&gt;17&lt;/ref-type&gt;&lt;contributors&gt;&lt;authors&gt;&lt;author&gt;Döring, Holger&lt;/author&gt;&lt;author&gt;Manow, Philip&lt;/author&gt;&lt;/authors&gt;&lt;/contributors&gt;&lt;titles&gt;&lt;title&gt;Parliament and government composition database (ParlGov): An infrastructure for empirical information on political institutions&lt;/title&gt;&lt;secondary-title&gt;http://www.parlgov.org/&lt;/secondary-title&gt;&lt;/titles&gt;&lt;periodical&gt;&lt;full-title&gt;http://www.parlgov.org/&lt;/full-title&gt;&lt;/periodical&gt;&lt;volume&gt;Version 10/02.&lt;/volume&gt;&lt;dates&gt;&lt;year&gt; 2010&lt;/year&gt;&lt;/dates&gt;&lt;urls&gt;&lt;/urls&gt;&lt;/record&gt;&lt;/Cite&gt;&lt;/EndNote&gt;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9" w:tooltip="Döring,  2010 #1822" w:history="1">
              <w:r w:rsidRPr="00B41A1C">
                <w:rPr>
                  <w:rFonts w:eastAsia="Times New Roman"/>
                  <w:noProof/>
                  <w:sz w:val="20"/>
                  <w:szCs w:val="20"/>
                  <w:lang w:val="en-US" w:eastAsia="de-CH"/>
                </w:rPr>
                <w:t xml:space="preserve"> 2010</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r w:rsidRPr="00B41A1C">
              <w:rPr>
                <w:rFonts w:eastAsia="Times New Roman"/>
                <w:sz w:val="20"/>
                <w:szCs w:val="20"/>
                <w:lang w:val="en-US" w:eastAsia="de-CH"/>
              </w:rPr>
              <w:t xml:space="preserve"> </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5.38</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1.39</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2.76</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7.76</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rFonts w:eastAsia="Times New Roman"/>
                <w:sz w:val="20"/>
                <w:szCs w:val="20"/>
                <w:lang w:eastAsia="de-CH"/>
              </w:rPr>
            </w:pPr>
            <w:r w:rsidRPr="00B41A1C">
              <w:rPr>
                <w:sz w:val="20"/>
                <w:szCs w:val="20"/>
                <w:lang w:val="en-GB"/>
              </w:rPr>
              <w:t xml:space="preserve">Government EU </w:t>
            </w:r>
            <w:proofErr w:type="spellStart"/>
            <w:r w:rsidRPr="00B41A1C">
              <w:rPr>
                <w:sz w:val="20"/>
                <w:szCs w:val="20"/>
                <w:lang w:val="en-GB"/>
              </w:rPr>
              <w:t>Integr</w:t>
            </w:r>
            <w:proofErr w:type="spellEnd"/>
            <w:r w:rsidRPr="00B41A1C">
              <w:rPr>
                <w:sz w:val="20"/>
                <w:szCs w:val="20"/>
                <w:lang w:val="en-GB"/>
              </w:rPr>
              <w:t xml:space="preserve"> Position</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Average proportional position of coalition partners on EU integration (coalition party strengths in parliament), who were in executive office at the time of the vote. EU Integration Scale between 1 (left) -10 (right). Derived from Döring and Manow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 ExcludeAuth="1"&gt;&lt;Author&gt;Döring&lt;/Author&gt;&lt;Year&gt;2010. Parliament and government composition database (ParlGov): An infrastructure for empirical information on political institutions&lt;/Year&gt;&lt;RecNum&gt;1822&lt;/RecNum&gt;&lt;DisplayText&gt;( 2010)&lt;/DisplayText&gt;&lt;record&gt;&lt;rec-number&gt;1822&lt;/rec-number&gt;&lt;foreign-keys&gt;&lt;key app="EN" db-id="wza5w9vx3za5tbetsas55dp5xvfvzxw22rxw"&gt;1822&lt;/key&gt;&lt;/foreign-keys&gt;&lt;ref-type name="Journal Article"&gt;17&lt;/ref-type&gt;&lt;contributors&gt;&lt;authors&gt;&lt;author&gt;Döring, Holger&lt;/author&gt;&lt;author&gt;Manow, Philip&lt;/author&gt;&lt;/authors&gt;&lt;/contributors&gt;&lt;titles&gt;&lt;title&gt;Parliament and government composition database (ParlGov): An infrastructure for empirical information on political institutions&lt;/title&gt;&lt;secondary-title&gt;http://www.parlgov.org/&lt;/secondary-title&gt;&lt;/titles&gt;&lt;periodical&gt;&lt;full-title&gt;http://www.parlgov.org/&lt;/full-title&gt;&lt;/periodical&gt;&lt;volume&gt;Version 10/02.&lt;/volume&gt;&lt;dates&gt;&lt;year&gt; 2010&lt;/year&gt;&lt;/dates&gt;&lt;urls&gt;&lt;/urls&gt;&lt;/record&gt;&lt;/Cite&gt;&lt;/EndNote&gt;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9" w:tooltip="Döring,  2010 #1822" w:history="1">
              <w:r w:rsidRPr="00B41A1C">
                <w:rPr>
                  <w:rFonts w:eastAsia="Times New Roman"/>
                  <w:noProof/>
                  <w:sz w:val="20"/>
                  <w:szCs w:val="20"/>
                  <w:lang w:val="en-US" w:eastAsia="de-CH"/>
                </w:rPr>
                <w:t xml:space="preserve"> 2010</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8.22</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1.27</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3.89</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9.82</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Population Left-Right Position</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Average position of population on left-right scale, between 1 (left) – 10 (right), derived from </w:t>
            </w:r>
            <w:proofErr w:type="spellStart"/>
            <w:r w:rsidRPr="00B41A1C">
              <w:rPr>
                <w:rFonts w:eastAsia="Times New Roman"/>
                <w:sz w:val="20"/>
                <w:szCs w:val="20"/>
                <w:lang w:val="en-US" w:eastAsia="de-CH"/>
              </w:rPr>
              <w:t>Eurobarometer</w:t>
            </w:r>
            <w:proofErr w:type="spellEnd"/>
            <w:r w:rsidRPr="00B41A1C">
              <w:rPr>
                <w:rFonts w:eastAsia="Times New Roman"/>
                <w:sz w:val="20"/>
                <w:szCs w:val="20"/>
                <w:lang w:val="en-US" w:eastAsia="de-CH"/>
              </w:rPr>
              <w:t xml:space="preserve"> Survey Results May 2010 </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5.40</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0.40</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4.81</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6.34</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EU Integration Position of Population</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Percentage of survey respondents considering the EU as a good thing, derived from </w:t>
            </w:r>
            <w:proofErr w:type="spellStart"/>
            <w:r w:rsidRPr="00B41A1C">
              <w:rPr>
                <w:rFonts w:eastAsia="Times New Roman"/>
                <w:sz w:val="20"/>
                <w:szCs w:val="20"/>
                <w:lang w:val="en-US" w:eastAsia="de-CH"/>
              </w:rPr>
              <w:t>Eurobarometer</w:t>
            </w:r>
            <w:proofErr w:type="spellEnd"/>
            <w:r w:rsidRPr="00B41A1C">
              <w:rPr>
                <w:rFonts w:eastAsia="Times New Roman"/>
                <w:sz w:val="20"/>
                <w:szCs w:val="20"/>
                <w:lang w:val="en-US" w:eastAsia="de-CH"/>
              </w:rPr>
              <w:t xml:space="preserve"> Survey Results, half-yearly from 2004-2009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&lt;EndNote&gt;&lt;Cite&gt;&lt;Author&gt;European Commission&lt;/Author&gt;&lt;Year&gt;2010&lt;/Year&gt;&lt;RecNum&gt;2&lt;/RecNum&gt;&lt;DisplayText&gt;(European Commission 2010)&lt;/DisplayText&gt;&lt;record&gt;&lt;rec-number&gt;2&lt;/rec-number&gt;&lt;foreign-keys&gt;&lt;key app="EN" db-id="zpxadvfp5rrx0je2daaxz92j2rt990wawvrf"&gt;2&lt;/key&gt;&lt;/foreign-keys&gt;&lt;ref-type name="Online Database"&gt;45&lt;/ref-type&gt;&lt;contributors&gt;&lt;authors&gt;&lt;author&gt;European Commission,&lt;/author&gt;&lt;/authors&gt;&lt;/contributors&gt;&lt;titles&gt;&lt;title&gt;Standard Eurobarometer&lt;/title&gt;&lt;/titles&gt;&lt;volume&gt;73&lt;/volume&gt;&lt;dates&gt;&lt;year&gt;2010&lt;/year&gt;&lt;/dates&gt;&lt;publisher&gt;Brussels: European Commission&lt;/publisher&gt;&lt;urls&gt;&lt;related-urls&gt;&lt;url&gt;http://ec.europa.eu/public_opinion/archives/eb/eb73/eb73_en.htm&lt;/url&gt;&lt;/related-urls&gt;&lt;/urls&gt;&lt;/record&gt;&lt;/Cite&gt;&lt;Cite&gt;&lt;Author&gt;European Commission&lt;/Author&gt;&lt;Year&gt;2010&lt;/Year&gt;&lt;RecNum&gt;2&lt;/RecNum&gt;&lt;record&gt;&lt;rec-number&gt;2&lt;/rec-number&gt;&lt;foreign-keys&gt;&lt;key app="EN" db-id="zpxadvfp5rrx0je2daaxz92j2rt990wawvrf"&gt;2&lt;/key&gt;&lt;/foreign-keys&gt;&lt;ref-type name="Online Database"&gt;45&lt;/ref-type&gt;&lt;contributors&gt;&lt;authors&gt;&lt;author&gt;European Commission,&lt;/author&gt;&lt;/authors&gt;&lt;/contributors&gt;&lt;titles&gt;&lt;title&gt;Standard Eurobarometer&lt;/title&gt;&lt;/titles&gt;&lt;volume&gt;73&lt;/volume&gt;&lt;dates&gt;&lt;year&gt;2010&lt;/year&gt;&lt;/dates&gt;&lt;publisher&gt;Brussels: European Commission&lt;/publisher&gt;&lt;urls&gt;&lt;related-urls&gt;&lt;url&gt;http://ec.europa.eu/public_opinion/archives/eb/eb73/eb73_en.htm&lt;/url&gt;&lt;/related-urls&gt;&lt;/urls&gt;&lt;/record&gt;&lt;/Cite&gt;&lt;/EndNote&gt;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11" w:tooltip="European Commission, 2010 #2" w:history="1">
              <w:r w:rsidRPr="00B41A1C">
                <w:rPr>
                  <w:rFonts w:eastAsia="Times New Roman"/>
                  <w:noProof/>
                  <w:sz w:val="20"/>
                  <w:szCs w:val="20"/>
                  <w:lang w:val="en-US" w:eastAsia="de-CH"/>
                </w:rPr>
                <w:t>European Commission 2010</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54.37</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12.77</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23</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85</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Agriculture value added per worker</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sz w:val="20"/>
                <w:szCs w:val="20"/>
                <w:lang w:val="en-GB"/>
              </w:rPr>
            </w:pPr>
            <w:r w:rsidRPr="00B41A1C">
              <w:rPr>
                <w:sz w:val="20"/>
                <w:szCs w:val="20"/>
                <w:lang w:val="en-GB"/>
              </w:rPr>
              <w:t>Yearly Agriculture value added (% of GDP) Average 2002-2007</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&lt;EndNote&gt;&lt;Cite&gt;&lt;Author&gt;World Bank&lt;/Author&gt;&lt;Year&gt;2011&lt;/Year&gt;&lt;RecNum&gt;3&lt;/RecNum&gt;&lt;DisplayText&gt;(World Bank 2011)&lt;/DisplayText&gt;&lt;record&gt;&lt;rec-number&gt;3&lt;/rec-number&gt;&lt;foreign-keys&gt;&lt;key app="EN" db-id="zpxadvfp5rrx0je2daaxz92j2rt990wawvrf"&gt;3&lt;/key&gt;&lt;/foreign-keys&gt;&lt;ref-type name="Online Database"&gt;45&lt;/ref-type&gt;&lt;contributors&gt;&lt;authors&gt;&lt;author&gt;World Bank,&lt;/author&gt;&lt;/authors&gt;&lt;/contributors&gt;&lt;titles&gt;&lt;title&gt;World Development Indicators&lt;/title&gt;&lt;/titles&gt;&lt;dates&gt;&lt;year&gt;2011&lt;/year&gt;&lt;/dates&gt;&lt;publisher&gt;Washington, DC: World Bank&lt;/publisher&gt;&lt;urls&gt;&lt;/urls&gt;&lt;/record&gt;&lt;/Cite&gt;&lt;/EndNote&gt;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75" w:tooltip="World Bank, 2011 #3" w:history="1">
              <w:r w:rsidRPr="00B41A1C">
                <w:rPr>
                  <w:rFonts w:eastAsia="Times New Roman"/>
                  <w:noProof/>
                  <w:sz w:val="20"/>
                  <w:szCs w:val="20"/>
                  <w:lang w:val="en-US" w:eastAsia="de-CH"/>
                </w:rPr>
                <w:t>World Bank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sz w:val="20"/>
                <w:szCs w:val="20"/>
                <w:lang w:val="en-GB"/>
              </w:rPr>
            </w:pPr>
            <w:r w:rsidRPr="00B41A1C">
              <w:rPr>
                <w:sz w:val="20"/>
                <w:szCs w:val="20"/>
                <w:lang w:val="en-GB"/>
              </w:rPr>
              <w:t>2.73</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sz w:val="20"/>
                <w:szCs w:val="20"/>
                <w:lang w:val="en-GB"/>
              </w:rPr>
            </w:pPr>
            <w:r w:rsidRPr="00B41A1C">
              <w:rPr>
                <w:sz w:val="20"/>
                <w:szCs w:val="20"/>
                <w:lang w:val="en-GB"/>
              </w:rPr>
              <w:t>1.61</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sz w:val="20"/>
                <w:szCs w:val="20"/>
                <w:lang w:val="en-GB"/>
              </w:rPr>
            </w:pPr>
            <w:r w:rsidRPr="00B41A1C">
              <w:rPr>
                <w:sz w:val="20"/>
                <w:szCs w:val="20"/>
                <w:lang w:val="en-GB"/>
              </w:rPr>
              <w:t>0.36</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sz w:val="20"/>
                <w:szCs w:val="20"/>
                <w:lang w:val="en-GB"/>
              </w:rPr>
            </w:pPr>
            <w:r w:rsidRPr="00B41A1C">
              <w:rPr>
                <w:sz w:val="20"/>
                <w:szCs w:val="20"/>
                <w:lang w:val="en-GB"/>
              </w:rPr>
              <w:t>10.51</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Log Fishery Production</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Yearly total fishery Production by Country - Total all Fishing Areas, http://epp.eurostat.ec.europa.eu/portal/page/portal/fisheries/data/database</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11.31</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1.96</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7.57</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13.97</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fr-CH"/>
              </w:rPr>
            </w:pPr>
            <w:proofErr w:type="spellStart"/>
            <w:r w:rsidRPr="00B41A1C">
              <w:rPr>
                <w:sz w:val="20"/>
                <w:szCs w:val="20"/>
                <w:lang w:val="fr-CH"/>
              </w:rPr>
              <w:t>Government</w:t>
            </w:r>
            <w:proofErr w:type="spellEnd"/>
            <w:r w:rsidRPr="00B41A1C">
              <w:rPr>
                <w:sz w:val="20"/>
                <w:szCs w:val="20"/>
                <w:lang w:val="fr-CH"/>
              </w:rPr>
              <w:t xml:space="preserve"> pos. on </w:t>
            </w:r>
            <w:proofErr w:type="spellStart"/>
            <w:r w:rsidRPr="00B41A1C">
              <w:rPr>
                <w:sz w:val="20"/>
                <w:szCs w:val="20"/>
                <w:lang w:val="fr-CH"/>
              </w:rPr>
              <w:t>environment</w:t>
            </w:r>
            <w:proofErr w:type="spellEnd"/>
            <w:r w:rsidRPr="00B41A1C">
              <w:rPr>
                <w:sz w:val="20"/>
                <w:szCs w:val="20"/>
                <w:lang w:val="fr-CH"/>
              </w:rPr>
              <w:t xml:space="preserve"> protection</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Derived from the Benoit and Laver (2006) dataset, which reports values for all relevant cabinet parties. The value for a given case represents the position of the voting cabinet (proportional to coalition party strengths in parliament) on Environmental Protection</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12.25</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1.88</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7.10</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17.07</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lastRenderedPageBreak/>
              <w:t xml:space="preserve">Log </w:t>
            </w:r>
            <w:proofErr w:type="spellStart"/>
            <w:r w:rsidRPr="00B41A1C">
              <w:rPr>
                <w:sz w:val="20"/>
                <w:szCs w:val="20"/>
                <w:lang w:val="en-GB"/>
              </w:rPr>
              <w:t>SOx</w:t>
            </w:r>
            <w:proofErr w:type="spellEnd"/>
            <w:r w:rsidRPr="00B41A1C">
              <w:rPr>
                <w:sz w:val="20"/>
                <w:szCs w:val="20"/>
                <w:lang w:val="en-GB"/>
              </w:rPr>
              <w:t xml:space="preserve"> Emissions per capita</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Per capita </w:t>
            </w:r>
            <w:proofErr w:type="spellStart"/>
            <w:r w:rsidRPr="00B41A1C">
              <w:rPr>
                <w:rFonts w:eastAsia="Times New Roman"/>
                <w:sz w:val="20"/>
                <w:szCs w:val="20"/>
                <w:lang w:val="en-US" w:eastAsia="de-CH"/>
              </w:rPr>
              <w:t>SOx</w:t>
            </w:r>
            <w:proofErr w:type="spellEnd"/>
            <w:r w:rsidRPr="00B41A1C">
              <w:rPr>
                <w:rFonts w:eastAsia="Times New Roman"/>
                <w:sz w:val="20"/>
                <w:szCs w:val="20"/>
                <w:lang w:val="en-US" w:eastAsia="de-CH"/>
              </w:rPr>
              <w:t xml:space="preserve"> emissions in 2008 own calculations, derived from</w:t>
            </w:r>
          </w:p>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 http://www.eea.europa.eu/themes/air/air-emissions-data</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-4.21</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0.98</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-6.37</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-2.09</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US"/>
              </w:rPr>
            </w:pPr>
            <w:r w:rsidRPr="00B41A1C">
              <w:rPr>
                <w:sz w:val="20"/>
                <w:szCs w:val="20"/>
                <w:lang w:val="en-GB"/>
              </w:rPr>
              <w:t>Government position on tax vs. spending</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Derived from the Benoit and Laver (2006) dataset, which reports values for all relevant cabinet parties. The value for a given case represents the position of the voting cabinet (proportional to coalition party strengths in parliament) on Government Spending and Taxation</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11.57</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2.82</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5.89</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17.07</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Other No Votes</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The total number of Non-Approvals of Member States on the Act. Own computation from data.</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0.18</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0.74</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7</w:t>
            </w:r>
          </w:p>
        </w:tc>
      </w:tr>
      <w:tr w:rsidR="00344317" w:rsidRPr="00B41A1C" w:rsidTr="00354078">
        <w:trPr>
          <w:cantSplit/>
          <w:trHeight w:val="300"/>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Commissioner</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1 if the voting country has an EU Commissioner on the topic. Derived from EULO Dataset</w:t>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0.04</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0.19</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1</w:t>
            </w:r>
          </w:p>
        </w:tc>
      </w:tr>
      <w:tr w:rsidR="00344317" w:rsidRPr="00B41A1C" w:rsidTr="00354078">
        <w:trPr>
          <w:cantSplit/>
          <w:trHeight w:val="75"/>
          <w:tblHeader/>
        </w:trPr>
        <w:tc>
          <w:tcPr>
            <w:tcW w:w="1080" w:type="dxa"/>
            <w:tcBorders>
              <w:top w:val="single" w:sz="2" w:space="0" w:color="000000"/>
              <w:bottom w:val="single" w:sz="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President</w:t>
            </w:r>
          </w:p>
        </w:tc>
        <w:tc>
          <w:tcPr>
            <w:tcW w:w="4560" w:type="dxa"/>
            <w:tcBorders>
              <w:top w:val="single" w:sz="2" w:space="0" w:color="000000"/>
              <w:left w:val="single" w:sz="6" w:space="0" w:color="000000"/>
              <w:bottom w:val="single" w:sz="2" w:space="0" w:color="000000"/>
            </w:tcBorders>
            <w:shd w:val="clear" w:color="auto" w:fill="auto"/>
            <w:noWrap/>
          </w:tcPr>
          <w:p w:rsidR="00344317" w:rsidRPr="00B41A1C" w:rsidRDefault="00344317" w:rsidP="001C146D">
            <w:pPr>
              <w:rPr>
                <w:rFonts w:eastAsia="Times New Roman"/>
                <w:sz w:val="20"/>
                <w:szCs w:val="20"/>
                <w:lang w:val="en-US" w:eastAsia="de-CH"/>
              </w:rPr>
            </w:pPr>
            <w:r w:rsidRPr="00B41A1C">
              <w:rPr>
                <w:rFonts w:eastAsia="Times New Roman"/>
                <w:sz w:val="20"/>
                <w:szCs w:val="20"/>
                <w:lang w:val="en-US" w:eastAsia="de-CH"/>
              </w:rPr>
              <w:t xml:space="preserve">1 if the voting country has the presidency at the time of the vote. Derived from EULO Dataset </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&lt;EndNote&gt;&lt;Cite&gt;&lt;Author&gt;Leuffen&lt;/Author&gt;&lt;Year&gt;2011&lt;/Year&gt;&lt;RecNum&gt;1915&lt;/RecNum&gt;&lt;DisplayText&gt;(Leuffen and Hertz 2011)&lt;/DisplayText&gt;&lt;record&gt;&lt;rec-number&gt;1915&lt;/rec-number&gt;&lt;foreign-keys&gt;&lt;key app="EN" db-id="wza5w9vx3za5tbetsas55dp5xvfvzxw22rxw"&gt;1915&lt;/key&gt;&lt;/foreign-keys&gt;&lt;ref-type name="Dataset"&gt;59&lt;/ref-type&gt;&lt;contributors&gt;&lt;authors&gt;&lt;author&gt;Leuffen, Dirk&lt;/author&gt;&lt;author&gt;Hertz, Robin&lt;/author&gt;&lt;/authors&gt;&lt;/contributors&gt;&lt;titles&gt;&lt;title&gt;European Union Legislative Output Data&lt;/title&gt;&lt;/titles&gt;&lt;dates&gt;&lt;year&gt;2011&lt;/year&gt;&lt;/dates&gt;&lt;pub-location&gt;ETH Zurich&lt;/pub-location&gt;&lt;urls&gt;&lt;/urls&gt;&lt;/record&gt;&lt;/Cite&gt;&lt;/EndNote&gt;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32" w:tooltip="Leuffen, 2011 #1915" w:history="1">
              <w:r w:rsidRPr="00B41A1C">
                <w:rPr>
                  <w:rFonts w:eastAsia="Times New Roman"/>
                  <w:noProof/>
                  <w:sz w:val="20"/>
                  <w:szCs w:val="20"/>
                  <w:lang w:val="en-US" w:eastAsia="de-CH"/>
                </w:rPr>
                <w:t>Leuffen and Hertz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val="en-US" w:eastAsia="de-CH"/>
              </w:rPr>
            </w:pPr>
            <w:r w:rsidRPr="00B41A1C">
              <w:rPr>
                <w:rFonts w:eastAsia="Times New Roman"/>
                <w:sz w:val="20"/>
                <w:szCs w:val="20"/>
                <w:lang w:val="en-US" w:eastAsia="de-CH"/>
              </w:rPr>
              <w:t>0.03</w:t>
            </w:r>
          </w:p>
        </w:tc>
        <w:tc>
          <w:tcPr>
            <w:tcW w:w="1019"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val="en-US" w:eastAsia="de-CH"/>
              </w:rPr>
              <w:t>0.1</w:t>
            </w:r>
            <w:r w:rsidRPr="00B41A1C">
              <w:rPr>
                <w:rFonts w:eastAsia="Times New Roman"/>
                <w:sz w:val="20"/>
                <w:szCs w:val="20"/>
                <w:lang w:eastAsia="de-CH"/>
              </w:rPr>
              <w:t>8</w:t>
            </w:r>
          </w:p>
        </w:tc>
        <w:tc>
          <w:tcPr>
            <w:tcW w:w="77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w:t>
            </w:r>
          </w:p>
        </w:tc>
        <w:tc>
          <w:tcPr>
            <w:tcW w:w="967" w:type="dxa"/>
            <w:tcBorders>
              <w:top w:val="single" w:sz="2" w:space="0" w:color="000000"/>
              <w:bottom w:val="single" w:sz="2" w:space="0" w:color="000000"/>
            </w:tcBorders>
            <w:shd w:val="clear" w:color="auto" w:fill="auto"/>
            <w:noWrap/>
            <w:vAlign w:val="center"/>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w:t>
            </w:r>
          </w:p>
        </w:tc>
      </w:tr>
      <w:tr w:rsidR="00344317" w:rsidRPr="00B41A1C" w:rsidTr="00354078">
        <w:trPr>
          <w:cantSplit/>
          <w:trHeight w:val="300"/>
          <w:tblHeader/>
        </w:trPr>
        <w:tc>
          <w:tcPr>
            <w:tcW w:w="1080" w:type="dxa"/>
            <w:tcBorders>
              <w:top w:val="single" w:sz="2" w:space="0" w:color="000000"/>
              <w:bottom w:val="single" w:sz="12" w:space="0" w:color="000000"/>
              <w:right w:val="single" w:sz="6" w:space="0" w:color="000000"/>
            </w:tcBorders>
            <w:shd w:val="clear" w:color="auto" w:fill="auto"/>
            <w:noWrap/>
            <w:vAlign w:val="center"/>
          </w:tcPr>
          <w:p w:rsidR="00344317" w:rsidRPr="00B41A1C" w:rsidRDefault="00344317" w:rsidP="001C146D">
            <w:pPr>
              <w:rPr>
                <w:sz w:val="20"/>
                <w:szCs w:val="20"/>
                <w:lang w:val="en-GB"/>
              </w:rPr>
            </w:pPr>
            <w:r w:rsidRPr="00B41A1C">
              <w:rPr>
                <w:sz w:val="20"/>
                <w:szCs w:val="20"/>
                <w:lang w:val="en-GB"/>
              </w:rPr>
              <w:t>QMV</w:t>
            </w:r>
          </w:p>
        </w:tc>
        <w:tc>
          <w:tcPr>
            <w:tcW w:w="4560" w:type="dxa"/>
            <w:tcBorders>
              <w:top w:val="single" w:sz="2" w:space="0" w:color="000000"/>
              <w:left w:val="single" w:sz="6" w:space="0" w:color="000000"/>
              <w:bottom w:val="single" w:sz="12" w:space="0" w:color="000000"/>
            </w:tcBorders>
            <w:shd w:val="clear" w:color="auto" w:fill="auto"/>
            <w:noWrap/>
          </w:tcPr>
          <w:p w:rsidR="00344317" w:rsidRPr="00B41A1C" w:rsidRDefault="00344317" w:rsidP="001C146D">
            <w:pPr>
              <w:rPr>
                <w:rFonts w:eastAsia="Times New Roman"/>
                <w:sz w:val="20"/>
                <w:szCs w:val="20"/>
                <w:highlight w:val="yellow"/>
                <w:lang w:val="en-US" w:eastAsia="de-CH"/>
              </w:rPr>
            </w:pPr>
            <w:r w:rsidRPr="00B41A1C">
              <w:rPr>
                <w:rFonts w:eastAsia="Times New Roman"/>
                <w:sz w:val="20"/>
                <w:szCs w:val="20"/>
                <w:lang w:val="en-US" w:eastAsia="de-CH"/>
              </w:rPr>
              <w:t>Coded 1 if the voting rule of the act was Qualified Majority Vote, own coding.</w:t>
            </w:r>
            <w:r w:rsidRPr="00B41A1C">
              <w:rPr>
                <w:rFonts w:eastAsia="Times New Roman"/>
                <w:sz w:val="20"/>
                <w:szCs w:val="20"/>
                <w:lang w:val="en-US" w:eastAsia="de-CH"/>
              </w:rPr>
              <w:fldChar w:fldCharType="begin"/>
            </w:r>
            <w:r w:rsidRPr="00B41A1C">
              <w:rPr>
                <w:rFonts w:eastAsia="Times New Roman"/>
                <w:sz w:val="20"/>
                <w:szCs w:val="20"/>
                <w:lang w:val="en-US" w:eastAsia="de-CH"/>
              </w:rPr>
              <w:instrText xml:space="preserve"> ADDIN EN.CITE &lt;EndNote&gt;&lt;Cite&gt;&lt;Author&gt;Leuffen&lt;/Author&gt;&lt;Year&gt;2011&lt;/Year&gt;&lt;RecNum&gt;1915&lt;/RecNum&gt;&lt;DisplayText&gt;(Leuffen and Hertz 2011)&lt;/DisplayText&gt;&lt;record&gt;&lt;rec-number&gt;1915&lt;/rec-number&gt;&lt;foreign-keys&gt;&lt;key app="EN" db-id="wza5w9vx3za5tbetsas55dp5xvfvzxw22rxw"&gt;1915&lt;/key&gt;&lt;/foreign-keys&gt;&lt;ref-type name="Dataset"&gt;59&lt;/ref-type&gt;&lt;contributors&gt;&lt;authors&gt;&lt;author&gt;Leuffen, Dirk&lt;/author&gt;&lt;author&gt;Hertz, Robin&lt;/author&gt;&lt;/authors&gt;&lt;/contributors&gt;&lt;titles&gt;&lt;title&gt;European Union Legislative Output Data&lt;/title&gt;&lt;/titles&gt;&lt;dates&gt;&lt;year&gt;2011&lt;/year&gt;&lt;/dates&gt;&lt;pub-location&gt;ETH Zurich&lt;/pub-location&gt;&lt;urls&gt;&lt;/urls&gt;&lt;/record&gt;&lt;/Cite&gt;&lt;/EndNote&gt;</w:instrText>
            </w:r>
            <w:r w:rsidRPr="00B41A1C">
              <w:rPr>
                <w:rFonts w:eastAsia="Times New Roman"/>
                <w:sz w:val="20"/>
                <w:szCs w:val="20"/>
                <w:lang w:val="en-US" w:eastAsia="de-CH"/>
              </w:rPr>
              <w:fldChar w:fldCharType="separate"/>
            </w:r>
            <w:r w:rsidRPr="00B41A1C">
              <w:rPr>
                <w:rFonts w:eastAsia="Times New Roman"/>
                <w:noProof/>
                <w:sz w:val="20"/>
                <w:szCs w:val="20"/>
                <w:lang w:val="en-US" w:eastAsia="de-CH"/>
              </w:rPr>
              <w:t>(</w:t>
            </w:r>
            <w:hyperlink w:anchor="_ENREF_32" w:tooltip="Leuffen, 2011 #1915" w:history="1">
              <w:r w:rsidRPr="00B41A1C">
                <w:rPr>
                  <w:rFonts w:eastAsia="Times New Roman"/>
                  <w:noProof/>
                  <w:sz w:val="20"/>
                  <w:szCs w:val="20"/>
                  <w:lang w:val="en-US" w:eastAsia="de-CH"/>
                </w:rPr>
                <w:t>Leuffen and Hertz 2011</w:t>
              </w:r>
            </w:hyperlink>
            <w:r w:rsidRPr="00B41A1C">
              <w:rPr>
                <w:rFonts w:eastAsia="Times New Roman"/>
                <w:noProof/>
                <w:sz w:val="20"/>
                <w:szCs w:val="20"/>
                <w:lang w:val="en-US" w:eastAsia="de-CH"/>
              </w:rPr>
              <w:t>)</w:t>
            </w:r>
            <w:r w:rsidRPr="00B41A1C">
              <w:rPr>
                <w:rFonts w:eastAsia="Times New Roman"/>
                <w:sz w:val="20"/>
                <w:szCs w:val="20"/>
                <w:lang w:val="en-US" w:eastAsia="de-CH"/>
              </w:rPr>
              <w:fldChar w:fldCharType="end"/>
            </w:r>
          </w:p>
        </w:tc>
        <w:tc>
          <w:tcPr>
            <w:tcW w:w="809" w:type="dxa"/>
            <w:tcBorders>
              <w:top w:val="single" w:sz="2" w:space="0" w:color="000000"/>
              <w:bottom w:val="single" w:sz="12" w:space="0" w:color="000000"/>
            </w:tcBorders>
            <w:shd w:val="clear" w:color="auto" w:fill="auto"/>
            <w:noWrap/>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0.83</w:t>
            </w:r>
          </w:p>
        </w:tc>
        <w:tc>
          <w:tcPr>
            <w:tcW w:w="1019" w:type="dxa"/>
            <w:tcBorders>
              <w:top w:val="single" w:sz="2" w:space="0" w:color="000000"/>
              <w:bottom w:val="single" w:sz="12" w:space="0" w:color="000000"/>
            </w:tcBorders>
            <w:shd w:val="clear" w:color="auto" w:fill="auto"/>
            <w:noWrap/>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0.37</w:t>
            </w:r>
          </w:p>
        </w:tc>
        <w:tc>
          <w:tcPr>
            <w:tcW w:w="777" w:type="dxa"/>
            <w:tcBorders>
              <w:top w:val="single" w:sz="2" w:space="0" w:color="000000"/>
              <w:bottom w:val="single" w:sz="12" w:space="0" w:color="000000"/>
            </w:tcBorders>
            <w:shd w:val="clear" w:color="auto" w:fill="auto"/>
            <w:noWrap/>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0</w:t>
            </w:r>
          </w:p>
        </w:tc>
        <w:tc>
          <w:tcPr>
            <w:tcW w:w="967" w:type="dxa"/>
            <w:tcBorders>
              <w:top w:val="single" w:sz="2" w:space="0" w:color="000000"/>
              <w:bottom w:val="single" w:sz="12" w:space="0" w:color="000000"/>
            </w:tcBorders>
            <w:shd w:val="clear" w:color="auto" w:fill="auto"/>
            <w:noWrap/>
          </w:tcPr>
          <w:p w:rsidR="00344317" w:rsidRPr="00B41A1C" w:rsidRDefault="00344317" w:rsidP="001C146D">
            <w:pPr>
              <w:jc w:val="center"/>
              <w:rPr>
                <w:rFonts w:eastAsia="Times New Roman"/>
                <w:sz w:val="20"/>
                <w:szCs w:val="20"/>
                <w:lang w:eastAsia="de-CH"/>
              </w:rPr>
            </w:pPr>
            <w:r w:rsidRPr="00B41A1C">
              <w:rPr>
                <w:rFonts w:eastAsia="Times New Roman"/>
                <w:sz w:val="20"/>
                <w:szCs w:val="20"/>
                <w:lang w:eastAsia="de-CH"/>
              </w:rPr>
              <w:t>1</w:t>
            </w:r>
          </w:p>
        </w:tc>
      </w:tr>
    </w:tbl>
    <w:p w:rsidR="00344317" w:rsidRDefault="00344317" w:rsidP="00344317">
      <w:pPr>
        <w:spacing w:after="200" w:line="276" w:lineRule="auto"/>
        <w:rPr>
          <w:lang w:val="en-US"/>
        </w:rPr>
      </w:pPr>
      <w:r>
        <w:rPr>
          <w:lang w:val="en-US"/>
        </w:rPr>
        <w:br w:type="page"/>
      </w:r>
    </w:p>
    <w:p w:rsidR="00344317" w:rsidRDefault="00344317" w:rsidP="00344317">
      <w:pPr>
        <w:rPr>
          <w:lang w:val="en-GB"/>
        </w:rPr>
      </w:pPr>
      <w:r w:rsidRPr="00042499">
        <w:rPr>
          <w:u w:val="single"/>
          <w:lang w:val="en-GB"/>
        </w:rPr>
        <w:lastRenderedPageBreak/>
        <w:t xml:space="preserve">Table </w:t>
      </w:r>
      <w:r>
        <w:rPr>
          <w:u w:val="single"/>
          <w:lang w:val="en-GB"/>
        </w:rPr>
        <w:t>A2</w:t>
      </w:r>
      <w:r w:rsidRPr="00C31E8E">
        <w:rPr>
          <w:lang w:val="en-GB"/>
        </w:rPr>
        <w:t>. Share of contested decisions by member state and by policy sector May 1 2004 – 31 December 200</w:t>
      </w:r>
      <w:r>
        <w:rPr>
          <w:lang w:val="en-GB"/>
        </w:rPr>
        <w:t>9</w:t>
      </w:r>
      <w:r w:rsidRPr="00C31E8E">
        <w:rPr>
          <w:lang w:val="en-GB"/>
        </w:rPr>
        <w:t xml:space="preserve"> (2007-0</w:t>
      </w:r>
      <w:r>
        <w:rPr>
          <w:lang w:val="en-GB"/>
        </w:rPr>
        <w:t>9</w:t>
      </w:r>
      <w:r w:rsidRPr="00C31E8E">
        <w:rPr>
          <w:lang w:val="en-GB"/>
        </w:rPr>
        <w:t xml:space="preserve"> for Bulgaria and Romania).</w:t>
      </w:r>
    </w:p>
    <w:p w:rsidR="00344317" w:rsidRPr="00C31E8E" w:rsidRDefault="00344317" w:rsidP="00344317">
      <w:pPr>
        <w:rPr>
          <w:lang w:val="en-GB"/>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530"/>
        <w:gridCol w:w="1531"/>
        <w:gridCol w:w="1531"/>
        <w:gridCol w:w="1531"/>
        <w:gridCol w:w="1531"/>
      </w:tblGrid>
      <w:tr w:rsidR="0087761D" w:rsidRPr="00634BEF" w:rsidTr="0087761D">
        <w:trPr>
          <w:cantSplit/>
        </w:trPr>
        <w:tc>
          <w:tcPr>
            <w:tcW w:w="1526" w:type="dxa"/>
          </w:tcPr>
          <w:p w:rsidR="00344317" w:rsidRPr="00634BEF" w:rsidRDefault="00344317" w:rsidP="002F0517">
            <w:pPr>
              <w:rPr>
                <w:b/>
              </w:rPr>
            </w:pPr>
            <w:r w:rsidRPr="00634BEF">
              <w:rPr>
                <w:b/>
              </w:rPr>
              <w:t xml:space="preserve">Member </w:t>
            </w:r>
          </w:p>
        </w:tc>
        <w:tc>
          <w:tcPr>
            <w:tcW w:w="1530" w:type="dxa"/>
          </w:tcPr>
          <w:p w:rsidR="00344317" w:rsidRPr="00634BEF" w:rsidRDefault="00344317" w:rsidP="002F0517">
            <w:pPr>
              <w:jc w:val="center"/>
              <w:rPr>
                <w:b/>
              </w:rPr>
            </w:pPr>
            <w:r w:rsidRPr="00634BEF">
              <w:rPr>
                <w:b/>
              </w:rPr>
              <w:t xml:space="preserve">All </w:t>
            </w:r>
            <w:proofErr w:type="spellStart"/>
            <w:r w:rsidRPr="00634BEF">
              <w:rPr>
                <w:b/>
              </w:rPr>
              <w:t>proposals</w:t>
            </w:r>
            <w:proofErr w:type="spellEnd"/>
          </w:p>
        </w:tc>
        <w:tc>
          <w:tcPr>
            <w:tcW w:w="1531" w:type="dxa"/>
          </w:tcPr>
          <w:p w:rsidR="00344317" w:rsidRPr="00634BEF" w:rsidRDefault="00344317" w:rsidP="002F0517">
            <w:pPr>
              <w:jc w:val="center"/>
              <w:rPr>
                <w:b/>
              </w:rPr>
            </w:pPr>
            <w:proofErr w:type="spellStart"/>
            <w:r w:rsidRPr="00634BEF">
              <w:rPr>
                <w:b/>
              </w:rPr>
              <w:t>Agriculture</w:t>
            </w:r>
            <w:proofErr w:type="spellEnd"/>
          </w:p>
        </w:tc>
        <w:tc>
          <w:tcPr>
            <w:tcW w:w="1531" w:type="dxa"/>
          </w:tcPr>
          <w:p w:rsidR="00344317" w:rsidRPr="00634BEF" w:rsidRDefault="00344317" w:rsidP="002F0517">
            <w:pPr>
              <w:jc w:val="center"/>
              <w:rPr>
                <w:b/>
              </w:rPr>
            </w:pPr>
            <w:proofErr w:type="spellStart"/>
            <w:r w:rsidRPr="00634BEF">
              <w:rPr>
                <w:b/>
              </w:rPr>
              <w:t>Fisheries</w:t>
            </w:r>
            <w:proofErr w:type="spellEnd"/>
          </w:p>
        </w:tc>
        <w:tc>
          <w:tcPr>
            <w:tcW w:w="1531" w:type="dxa"/>
          </w:tcPr>
          <w:p w:rsidR="00344317" w:rsidRPr="00634BEF" w:rsidRDefault="00344317" w:rsidP="002F0517">
            <w:pPr>
              <w:jc w:val="center"/>
              <w:rPr>
                <w:b/>
              </w:rPr>
            </w:pPr>
            <w:r w:rsidRPr="00634BEF">
              <w:rPr>
                <w:b/>
              </w:rPr>
              <w:t>Environment</w:t>
            </w:r>
          </w:p>
        </w:tc>
        <w:tc>
          <w:tcPr>
            <w:tcW w:w="1531" w:type="dxa"/>
          </w:tcPr>
          <w:p w:rsidR="00344317" w:rsidRPr="00634BEF" w:rsidRDefault="00344317" w:rsidP="002F0517">
            <w:pPr>
              <w:jc w:val="center"/>
              <w:rPr>
                <w:b/>
              </w:rPr>
            </w:pPr>
            <w:proofErr w:type="spellStart"/>
            <w:r w:rsidRPr="00634BEF">
              <w:rPr>
                <w:b/>
              </w:rPr>
              <w:t>Economic</w:t>
            </w:r>
            <w:proofErr w:type="spellEnd"/>
          </w:p>
        </w:tc>
      </w:tr>
      <w:tr w:rsidR="0087761D" w:rsidRPr="00634BEF" w:rsidTr="0087761D">
        <w:trPr>
          <w:cantSplit/>
        </w:trPr>
        <w:tc>
          <w:tcPr>
            <w:tcW w:w="1526" w:type="dxa"/>
          </w:tcPr>
          <w:p w:rsidR="00344317" w:rsidRPr="00634BEF" w:rsidRDefault="00344317" w:rsidP="002F0517">
            <w:pPr>
              <w:rPr>
                <w:color w:val="000000"/>
                <w:sz w:val="20"/>
                <w:szCs w:val="20"/>
              </w:rPr>
            </w:pPr>
            <w:proofErr w:type="spellStart"/>
            <w:r w:rsidRPr="00634BEF">
              <w:rPr>
                <w:color w:val="000000"/>
                <w:sz w:val="20"/>
                <w:szCs w:val="20"/>
              </w:rPr>
              <w:t>Belgium</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1.0 %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1.1 %</w:t>
            </w:r>
          </w:p>
        </w:tc>
        <w:tc>
          <w:tcPr>
            <w:tcW w:w="1531" w:type="dxa"/>
          </w:tcPr>
          <w:p w:rsidR="00344317" w:rsidRPr="00AC28F5" w:rsidRDefault="00344317" w:rsidP="002F0517">
            <w:pPr>
              <w:jc w:val="center"/>
              <w:rPr>
                <w:sz w:val="20"/>
                <w:szCs w:val="20"/>
              </w:rPr>
            </w:pPr>
            <w:r w:rsidRPr="00AC28F5">
              <w:rPr>
                <w:color w:val="000000"/>
                <w:sz w:val="20"/>
                <w:szCs w:val="20"/>
              </w:rPr>
              <w:t>0.9 %</w:t>
            </w:r>
          </w:p>
        </w:tc>
        <w:tc>
          <w:tcPr>
            <w:tcW w:w="1531" w:type="dxa"/>
          </w:tcPr>
          <w:p w:rsidR="00344317" w:rsidRPr="00AC28F5" w:rsidRDefault="00344317" w:rsidP="002F0517">
            <w:pPr>
              <w:jc w:val="center"/>
              <w:rPr>
                <w:sz w:val="20"/>
                <w:szCs w:val="20"/>
              </w:rPr>
            </w:pPr>
            <w:r w:rsidRPr="00AC28F5">
              <w:rPr>
                <w:color w:val="000000"/>
                <w:sz w:val="20"/>
                <w:szCs w:val="20"/>
              </w:rPr>
              <w:t>1.6 %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Czech</w:t>
            </w:r>
          </w:p>
        </w:tc>
        <w:tc>
          <w:tcPr>
            <w:tcW w:w="1530" w:type="dxa"/>
          </w:tcPr>
          <w:p w:rsidR="00344317" w:rsidRPr="00AC28F5" w:rsidRDefault="00344317" w:rsidP="002F0517">
            <w:pPr>
              <w:jc w:val="center"/>
              <w:rPr>
                <w:sz w:val="20"/>
                <w:szCs w:val="20"/>
              </w:rPr>
            </w:pPr>
            <w:r w:rsidRPr="00AC28F5">
              <w:rPr>
                <w:color w:val="000000"/>
                <w:sz w:val="20"/>
                <w:szCs w:val="20"/>
              </w:rPr>
              <w:t>1.0 %</w:t>
            </w:r>
          </w:p>
        </w:tc>
        <w:tc>
          <w:tcPr>
            <w:tcW w:w="1531" w:type="dxa"/>
          </w:tcPr>
          <w:p w:rsidR="00344317" w:rsidRPr="00AC28F5" w:rsidRDefault="00344317" w:rsidP="002F0517">
            <w:pPr>
              <w:jc w:val="center"/>
              <w:rPr>
                <w:sz w:val="20"/>
                <w:szCs w:val="20"/>
              </w:rPr>
            </w:pPr>
            <w:r w:rsidRPr="00AC28F5">
              <w:rPr>
                <w:color w:val="000000"/>
                <w:sz w:val="20"/>
                <w:szCs w:val="20"/>
              </w:rPr>
              <w:t>4.8 %</w:t>
            </w:r>
          </w:p>
        </w:tc>
        <w:tc>
          <w:tcPr>
            <w:tcW w:w="1531" w:type="dxa"/>
          </w:tcPr>
          <w:p w:rsidR="00344317" w:rsidRPr="00AC28F5" w:rsidRDefault="00344317" w:rsidP="002F0517">
            <w:pPr>
              <w:jc w:val="center"/>
              <w:rPr>
                <w:sz w:val="20"/>
                <w:szCs w:val="20"/>
              </w:rPr>
            </w:pPr>
            <w:r w:rsidRPr="00AC28F5">
              <w:rPr>
                <w:color w:val="000000"/>
                <w:sz w:val="20"/>
                <w:szCs w:val="20"/>
              </w:rPr>
              <w:t>1.1 %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1.2 %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Denmark</w:t>
            </w:r>
            <w:proofErr w:type="spellEnd"/>
          </w:p>
        </w:tc>
        <w:tc>
          <w:tcPr>
            <w:tcW w:w="1530" w:type="dxa"/>
          </w:tcPr>
          <w:p w:rsidR="00344317" w:rsidRPr="00AC28F5" w:rsidRDefault="00344317" w:rsidP="002F0517">
            <w:pPr>
              <w:jc w:val="center"/>
              <w:rPr>
                <w:sz w:val="20"/>
                <w:szCs w:val="20"/>
              </w:rPr>
            </w:pPr>
            <w:r w:rsidRPr="00AC28F5">
              <w:rPr>
                <w:color w:val="000000"/>
                <w:sz w:val="20"/>
                <w:szCs w:val="20"/>
              </w:rPr>
              <w:t>2.6 %</w:t>
            </w:r>
          </w:p>
        </w:tc>
        <w:tc>
          <w:tcPr>
            <w:tcW w:w="1531" w:type="dxa"/>
          </w:tcPr>
          <w:p w:rsidR="00344317" w:rsidRPr="00AC28F5" w:rsidRDefault="00344317" w:rsidP="002F0517">
            <w:pPr>
              <w:jc w:val="center"/>
              <w:rPr>
                <w:sz w:val="20"/>
                <w:szCs w:val="20"/>
              </w:rPr>
            </w:pPr>
            <w:r w:rsidRPr="00AC28F5">
              <w:rPr>
                <w:color w:val="000000"/>
                <w:sz w:val="20"/>
                <w:szCs w:val="20"/>
              </w:rPr>
              <w:t>9.0 %</w:t>
            </w:r>
          </w:p>
        </w:tc>
        <w:tc>
          <w:tcPr>
            <w:tcW w:w="1531" w:type="dxa"/>
          </w:tcPr>
          <w:p w:rsidR="00344317" w:rsidRPr="00AC28F5" w:rsidRDefault="00344317" w:rsidP="002F0517">
            <w:pPr>
              <w:jc w:val="center"/>
              <w:rPr>
                <w:sz w:val="20"/>
                <w:szCs w:val="20"/>
              </w:rPr>
            </w:pPr>
            <w:r w:rsidRPr="00AC28F5">
              <w:rPr>
                <w:color w:val="000000"/>
                <w:sz w:val="20"/>
                <w:szCs w:val="20"/>
              </w:rPr>
              <w:t>3.2 %</w:t>
            </w:r>
          </w:p>
        </w:tc>
        <w:tc>
          <w:tcPr>
            <w:tcW w:w="1531" w:type="dxa"/>
          </w:tcPr>
          <w:p w:rsidR="00344317" w:rsidRPr="00AC28F5" w:rsidRDefault="00344317" w:rsidP="002F0517">
            <w:pPr>
              <w:jc w:val="center"/>
              <w:rPr>
                <w:sz w:val="20"/>
                <w:szCs w:val="20"/>
              </w:rPr>
            </w:pPr>
            <w:r w:rsidRPr="00AC28F5">
              <w:rPr>
                <w:color w:val="000000"/>
                <w:sz w:val="20"/>
                <w:szCs w:val="20"/>
              </w:rPr>
              <w:t>2.7 %</w:t>
            </w:r>
          </w:p>
        </w:tc>
        <w:tc>
          <w:tcPr>
            <w:tcW w:w="1531" w:type="dxa"/>
          </w:tcPr>
          <w:p w:rsidR="00344317" w:rsidRPr="00AC28F5" w:rsidRDefault="00344317" w:rsidP="002F0517">
            <w:pPr>
              <w:jc w:val="center"/>
              <w:rPr>
                <w:sz w:val="20"/>
                <w:szCs w:val="20"/>
              </w:rPr>
            </w:pPr>
            <w:r w:rsidRPr="00AC28F5">
              <w:rPr>
                <w:color w:val="000000"/>
                <w:sz w:val="20"/>
                <w:szCs w:val="20"/>
              </w:rPr>
              <w:t>2.7 %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Germany</w:t>
            </w:r>
          </w:p>
        </w:tc>
        <w:tc>
          <w:tcPr>
            <w:tcW w:w="1530" w:type="dxa"/>
          </w:tcPr>
          <w:p w:rsidR="00344317" w:rsidRPr="00AC28F5" w:rsidRDefault="00344317" w:rsidP="002F0517">
            <w:pPr>
              <w:jc w:val="center"/>
              <w:rPr>
                <w:sz w:val="20"/>
                <w:szCs w:val="20"/>
              </w:rPr>
            </w:pPr>
            <w:r w:rsidRPr="00AC28F5">
              <w:rPr>
                <w:color w:val="000000"/>
                <w:sz w:val="20"/>
                <w:szCs w:val="20"/>
              </w:rPr>
              <w:t>2.5 %</w:t>
            </w:r>
          </w:p>
        </w:tc>
        <w:tc>
          <w:tcPr>
            <w:tcW w:w="1531" w:type="dxa"/>
          </w:tcPr>
          <w:p w:rsidR="00344317" w:rsidRPr="00AC28F5" w:rsidRDefault="00344317" w:rsidP="002F0517">
            <w:pPr>
              <w:jc w:val="center"/>
              <w:rPr>
                <w:sz w:val="20"/>
                <w:szCs w:val="20"/>
              </w:rPr>
            </w:pPr>
            <w:r w:rsidRPr="00AC28F5">
              <w:rPr>
                <w:color w:val="000000"/>
                <w:sz w:val="20"/>
                <w:szCs w:val="20"/>
              </w:rPr>
              <w:t>3.0 %</w:t>
            </w:r>
          </w:p>
        </w:tc>
        <w:tc>
          <w:tcPr>
            <w:tcW w:w="1531" w:type="dxa"/>
          </w:tcPr>
          <w:p w:rsidR="00344317" w:rsidRPr="00AC28F5" w:rsidRDefault="00344317" w:rsidP="002F0517">
            <w:pPr>
              <w:jc w:val="center"/>
              <w:rPr>
                <w:sz w:val="20"/>
                <w:szCs w:val="20"/>
              </w:rPr>
            </w:pPr>
            <w:r w:rsidRPr="00AC28F5">
              <w:rPr>
                <w:color w:val="000000"/>
                <w:sz w:val="20"/>
                <w:szCs w:val="20"/>
              </w:rPr>
              <w:t>2.1 %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3.5 %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Estonia</w:t>
            </w:r>
          </w:p>
        </w:tc>
        <w:tc>
          <w:tcPr>
            <w:tcW w:w="1530" w:type="dxa"/>
          </w:tcPr>
          <w:p w:rsidR="00344317" w:rsidRPr="00AC28F5" w:rsidRDefault="00344317" w:rsidP="002F0517">
            <w:pPr>
              <w:jc w:val="center"/>
              <w:rPr>
                <w:sz w:val="20"/>
                <w:szCs w:val="20"/>
              </w:rPr>
            </w:pPr>
            <w:r w:rsidRPr="00AC28F5">
              <w:rPr>
                <w:color w:val="000000"/>
                <w:sz w:val="20"/>
                <w:szCs w:val="20"/>
              </w:rPr>
              <w:t>1.1 %</w:t>
            </w:r>
          </w:p>
        </w:tc>
        <w:tc>
          <w:tcPr>
            <w:tcW w:w="1531" w:type="dxa"/>
          </w:tcPr>
          <w:p w:rsidR="00344317" w:rsidRPr="00AC28F5" w:rsidRDefault="00344317" w:rsidP="002F0517">
            <w:pPr>
              <w:jc w:val="center"/>
              <w:rPr>
                <w:sz w:val="20"/>
                <w:szCs w:val="20"/>
              </w:rPr>
            </w:pPr>
            <w:r w:rsidRPr="00AC28F5">
              <w:rPr>
                <w:color w:val="000000"/>
                <w:sz w:val="20"/>
                <w:szCs w:val="20"/>
              </w:rPr>
              <w:t>3.6 %</w:t>
            </w:r>
          </w:p>
        </w:tc>
        <w:tc>
          <w:tcPr>
            <w:tcW w:w="1531" w:type="dxa"/>
          </w:tcPr>
          <w:p w:rsidR="00344317" w:rsidRPr="00AC28F5" w:rsidRDefault="00344317" w:rsidP="002F0517">
            <w:pPr>
              <w:jc w:val="center"/>
              <w:rPr>
                <w:sz w:val="20"/>
                <w:szCs w:val="20"/>
              </w:rPr>
            </w:pPr>
            <w:r w:rsidRPr="00AC28F5">
              <w:rPr>
                <w:color w:val="000000"/>
                <w:sz w:val="20"/>
                <w:szCs w:val="20"/>
              </w:rPr>
              <w:t>3.2 %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0.4 %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Greece</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1.7 %</w:t>
            </w:r>
          </w:p>
        </w:tc>
        <w:tc>
          <w:tcPr>
            <w:tcW w:w="1531" w:type="dxa"/>
          </w:tcPr>
          <w:p w:rsidR="00344317" w:rsidRPr="00AC28F5" w:rsidRDefault="00344317" w:rsidP="002F0517">
            <w:pPr>
              <w:jc w:val="center"/>
              <w:rPr>
                <w:sz w:val="20"/>
                <w:szCs w:val="20"/>
              </w:rPr>
            </w:pPr>
            <w:r w:rsidRPr="00AC28F5">
              <w:rPr>
                <w:color w:val="000000"/>
                <w:sz w:val="20"/>
                <w:szCs w:val="20"/>
              </w:rPr>
              <w:t>4.8 %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2.7 %</w:t>
            </w:r>
          </w:p>
        </w:tc>
        <w:tc>
          <w:tcPr>
            <w:tcW w:w="1531" w:type="dxa"/>
          </w:tcPr>
          <w:p w:rsidR="00344317" w:rsidRPr="00AC28F5" w:rsidRDefault="00344317" w:rsidP="002F0517">
            <w:pPr>
              <w:jc w:val="center"/>
              <w:rPr>
                <w:sz w:val="20"/>
                <w:szCs w:val="20"/>
              </w:rPr>
            </w:pPr>
            <w:r w:rsidRPr="00AC28F5">
              <w:rPr>
                <w:color w:val="000000"/>
                <w:sz w:val="20"/>
                <w:szCs w:val="20"/>
              </w:rPr>
              <w:t>1.2 %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Spain</w:t>
            </w:r>
          </w:p>
        </w:tc>
        <w:tc>
          <w:tcPr>
            <w:tcW w:w="1530" w:type="dxa"/>
          </w:tcPr>
          <w:p w:rsidR="00344317" w:rsidRPr="00AC28F5" w:rsidRDefault="00344317" w:rsidP="002F0517">
            <w:pPr>
              <w:jc w:val="center"/>
              <w:rPr>
                <w:sz w:val="20"/>
                <w:szCs w:val="20"/>
              </w:rPr>
            </w:pPr>
            <w:r w:rsidRPr="00AC28F5">
              <w:rPr>
                <w:color w:val="000000"/>
                <w:sz w:val="20"/>
                <w:szCs w:val="20"/>
              </w:rPr>
              <w:t>1.1 %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1.1 %</w:t>
            </w:r>
          </w:p>
        </w:tc>
        <w:tc>
          <w:tcPr>
            <w:tcW w:w="1531" w:type="dxa"/>
          </w:tcPr>
          <w:p w:rsidR="00344317" w:rsidRPr="00AC28F5" w:rsidRDefault="00344317" w:rsidP="002F0517">
            <w:pPr>
              <w:jc w:val="center"/>
              <w:rPr>
                <w:sz w:val="20"/>
                <w:szCs w:val="20"/>
              </w:rPr>
            </w:pPr>
            <w:r w:rsidRPr="00AC28F5">
              <w:rPr>
                <w:color w:val="000000"/>
                <w:sz w:val="20"/>
                <w:szCs w:val="20"/>
              </w:rPr>
              <w:t>2.7 %</w:t>
            </w:r>
          </w:p>
        </w:tc>
        <w:tc>
          <w:tcPr>
            <w:tcW w:w="1531" w:type="dxa"/>
          </w:tcPr>
          <w:p w:rsidR="00344317" w:rsidRPr="00AC28F5" w:rsidRDefault="00344317" w:rsidP="002F0517">
            <w:pPr>
              <w:jc w:val="center"/>
              <w:rPr>
                <w:sz w:val="20"/>
                <w:szCs w:val="20"/>
              </w:rPr>
            </w:pPr>
            <w:r w:rsidRPr="00AC28F5">
              <w:rPr>
                <w:color w:val="000000"/>
                <w:sz w:val="20"/>
                <w:szCs w:val="20"/>
              </w:rPr>
              <w:t>2.3 %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France</w:t>
            </w:r>
          </w:p>
        </w:tc>
        <w:tc>
          <w:tcPr>
            <w:tcW w:w="1530" w:type="dxa"/>
          </w:tcPr>
          <w:p w:rsidR="00344317" w:rsidRPr="00AC28F5" w:rsidRDefault="00344317" w:rsidP="002F0517">
            <w:pPr>
              <w:jc w:val="center"/>
              <w:rPr>
                <w:sz w:val="20"/>
                <w:szCs w:val="20"/>
              </w:rPr>
            </w:pPr>
            <w:r w:rsidRPr="00AC28F5">
              <w:rPr>
                <w:color w:val="000000"/>
                <w:sz w:val="20"/>
                <w:szCs w:val="20"/>
              </w:rPr>
              <w:t>1.1 %</w:t>
            </w:r>
          </w:p>
        </w:tc>
        <w:tc>
          <w:tcPr>
            <w:tcW w:w="1531" w:type="dxa"/>
          </w:tcPr>
          <w:p w:rsidR="00344317" w:rsidRPr="00AC28F5" w:rsidRDefault="00344317" w:rsidP="002F0517">
            <w:pPr>
              <w:jc w:val="center"/>
              <w:rPr>
                <w:sz w:val="20"/>
                <w:szCs w:val="20"/>
              </w:rPr>
            </w:pPr>
            <w:r w:rsidRPr="00AC28F5">
              <w:rPr>
                <w:color w:val="000000"/>
                <w:sz w:val="20"/>
                <w:szCs w:val="20"/>
              </w:rPr>
              <w:t>3.0 %</w:t>
            </w:r>
          </w:p>
        </w:tc>
        <w:tc>
          <w:tcPr>
            <w:tcW w:w="1531" w:type="dxa"/>
          </w:tcPr>
          <w:p w:rsidR="00344317" w:rsidRPr="00AC28F5" w:rsidRDefault="00344317" w:rsidP="002F0517">
            <w:pPr>
              <w:jc w:val="center"/>
              <w:rPr>
                <w:sz w:val="20"/>
                <w:szCs w:val="20"/>
              </w:rPr>
            </w:pPr>
            <w:r w:rsidRPr="00AC28F5">
              <w:rPr>
                <w:color w:val="000000"/>
                <w:sz w:val="20"/>
                <w:szCs w:val="20"/>
              </w:rPr>
              <w:t>2.1 %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0.8 %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Ireland</w:t>
            </w:r>
            <w:proofErr w:type="spellEnd"/>
          </w:p>
        </w:tc>
        <w:tc>
          <w:tcPr>
            <w:tcW w:w="1530" w:type="dxa"/>
          </w:tcPr>
          <w:p w:rsidR="00344317" w:rsidRPr="00AC28F5" w:rsidRDefault="00344317" w:rsidP="002F0517">
            <w:pPr>
              <w:jc w:val="center"/>
              <w:rPr>
                <w:sz w:val="20"/>
                <w:szCs w:val="20"/>
              </w:rPr>
            </w:pPr>
            <w:r w:rsidRPr="00AC28F5">
              <w:rPr>
                <w:color w:val="000000"/>
                <w:sz w:val="20"/>
                <w:szCs w:val="20"/>
              </w:rPr>
              <w:t>0.8 %</w:t>
            </w:r>
          </w:p>
        </w:tc>
        <w:tc>
          <w:tcPr>
            <w:tcW w:w="1531" w:type="dxa"/>
          </w:tcPr>
          <w:p w:rsidR="00344317" w:rsidRPr="00AC28F5" w:rsidRDefault="00344317" w:rsidP="002F0517">
            <w:pPr>
              <w:jc w:val="center"/>
              <w:rPr>
                <w:sz w:val="20"/>
                <w:szCs w:val="20"/>
              </w:rPr>
            </w:pPr>
            <w:r w:rsidRPr="00AC28F5">
              <w:rPr>
                <w:color w:val="000000"/>
                <w:sz w:val="20"/>
                <w:szCs w:val="20"/>
              </w:rPr>
              <w:t>3.0 %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0.0 %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Italy</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1.6 %</w:t>
            </w:r>
          </w:p>
        </w:tc>
        <w:tc>
          <w:tcPr>
            <w:tcW w:w="1531" w:type="dxa"/>
          </w:tcPr>
          <w:p w:rsidR="00344317" w:rsidRPr="00AC28F5" w:rsidRDefault="00344317" w:rsidP="002F0517">
            <w:pPr>
              <w:jc w:val="center"/>
              <w:rPr>
                <w:sz w:val="20"/>
                <w:szCs w:val="20"/>
              </w:rPr>
            </w:pPr>
            <w:r w:rsidRPr="00AC28F5">
              <w:rPr>
                <w:color w:val="000000"/>
                <w:sz w:val="20"/>
                <w:szCs w:val="20"/>
              </w:rPr>
              <w:t>5.4 %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2.7 %</w:t>
            </w:r>
          </w:p>
        </w:tc>
        <w:tc>
          <w:tcPr>
            <w:tcW w:w="1531" w:type="dxa"/>
          </w:tcPr>
          <w:p w:rsidR="00344317" w:rsidRPr="00AC28F5" w:rsidRDefault="00344317" w:rsidP="002F0517">
            <w:pPr>
              <w:jc w:val="center"/>
              <w:rPr>
                <w:sz w:val="20"/>
                <w:szCs w:val="20"/>
              </w:rPr>
            </w:pPr>
            <w:r w:rsidRPr="00AC28F5">
              <w:rPr>
                <w:color w:val="000000"/>
                <w:sz w:val="20"/>
                <w:szCs w:val="20"/>
              </w:rPr>
              <w:t>1.2 %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Cyprus</w:t>
            </w:r>
            <w:proofErr w:type="spellEnd"/>
          </w:p>
        </w:tc>
        <w:tc>
          <w:tcPr>
            <w:tcW w:w="1530" w:type="dxa"/>
          </w:tcPr>
          <w:p w:rsidR="00344317" w:rsidRPr="00AC28F5" w:rsidRDefault="00344317" w:rsidP="002F0517">
            <w:pPr>
              <w:jc w:val="center"/>
              <w:rPr>
                <w:sz w:val="20"/>
                <w:szCs w:val="20"/>
              </w:rPr>
            </w:pPr>
            <w:r w:rsidRPr="00AC28F5">
              <w:rPr>
                <w:color w:val="000000"/>
                <w:sz w:val="20"/>
                <w:szCs w:val="20"/>
              </w:rPr>
              <w:t>0.7 %</w:t>
            </w:r>
          </w:p>
        </w:tc>
        <w:tc>
          <w:tcPr>
            <w:tcW w:w="1531" w:type="dxa"/>
          </w:tcPr>
          <w:p w:rsidR="00344317" w:rsidRPr="00AC28F5" w:rsidRDefault="00344317" w:rsidP="002F0517">
            <w:pPr>
              <w:jc w:val="center"/>
              <w:rPr>
                <w:sz w:val="20"/>
                <w:szCs w:val="20"/>
              </w:rPr>
            </w:pPr>
            <w:r w:rsidRPr="00AC28F5">
              <w:rPr>
                <w:color w:val="000000"/>
                <w:sz w:val="20"/>
                <w:szCs w:val="20"/>
              </w:rPr>
              <w:t>3.0 %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0.9 %</w:t>
            </w:r>
          </w:p>
        </w:tc>
        <w:tc>
          <w:tcPr>
            <w:tcW w:w="1531" w:type="dxa"/>
          </w:tcPr>
          <w:p w:rsidR="00344317" w:rsidRPr="00AC28F5" w:rsidRDefault="00344317" w:rsidP="002F0517">
            <w:pPr>
              <w:jc w:val="center"/>
              <w:rPr>
                <w:sz w:val="20"/>
                <w:szCs w:val="20"/>
              </w:rPr>
            </w:pPr>
            <w:r w:rsidRPr="00AC28F5">
              <w:rPr>
                <w:color w:val="000000"/>
                <w:sz w:val="20"/>
                <w:szCs w:val="20"/>
              </w:rPr>
              <w:t>0.8 %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Latvia</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1.3 %</w:t>
            </w:r>
          </w:p>
        </w:tc>
        <w:tc>
          <w:tcPr>
            <w:tcW w:w="1531" w:type="dxa"/>
          </w:tcPr>
          <w:p w:rsidR="00344317" w:rsidRPr="00AC28F5" w:rsidRDefault="00344317" w:rsidP="002F0517">
            <w:pPr>
              <w:jc w:val="center"/>
              <w:rPr>
                <w:sz w:val="20"/>
                <w:szCs w:val="20"/>
              </w:rPr>
            </w:pPr>
            <w:r w:rsidRPr="00AC28F5">
              <w:rPr>
                <w:color w:val="000000"/>
                <w:sz w:val="20"/>
                <w:szCs w:val="20"/>
              </w:rPr>
              <w:t>4.8 %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1.9 %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Lithuania</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1.3 %</w:t>
            </w:r>
          </w:p>
        </w:tc>
        <w:tc>
          <w:tcPr>
            <w:tcW w:w="1531" w:type="dxa"/>
          </w:tcPr>
          <w:p w:rsidR="00344317" w:rsidRPr="00AC28F5" w:rsidRDefault="00344317" w:rsidP="002F0517">
            <w:pPr>
              <w:jc w:val="center"/>
              <w:rPr>
                <w:sz w:val="20"/>
                <w:szCs w:val="20"/>
              </w:rPr>
            </w:pPr>
            <w:r w:rsidRPr="00AC28F5">
              <w:rPr>
                <w:color w:val="000000"/>
                <w:sz w:val="20"/>
                <w:szCs w:val="20"/>
              </w:rPr>
              <w:t>3.6 %</w:t>
            </w:r>
          </w:p>
        </w:tc>
        <w:tc>
          <w:tcPr>
            <w:tcW w:w="1531" w:type="dxa"/>
          </w:tcPr>
          <w:p w:rsidR="00344317" w:rsidRPr="00AC28F5" w:rsidRDefault="00344317" w:rsidP="002F0517">
            <w:pPr>
              <w:jc w:val="center"/>
              <w:rPr>
                <w:sz w:val="20"/>
                <w:szCs w:val="20"/>
              </w:rPr>
            </w:pPr>
            <w:r w:rsidRPr="00AC28F5">
              <w:rPr>
                <w:color w:val="000000"/>
                <w:sz w:val="20"/>
                <w:szCs w:val="20"/>
              </w:rPr>
              <w:t>4.3 %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1.9 %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Luxembourg</w:t>
            </w:r>
          </w:p>
        </w:tc>
        <w:tc>
          <w:tcPr>
            <w:tcW w:w="1530" w:type="dxa"/>
          </w:tcPr>
          <w:p w:rsidR="00344317" w:rsidRPr="00AC28F5" w:rsidRDefault="00344317" w:rsidP="002F0517">
            <w:pPr>
              <w:jc w:val="center"/>
              <w:rPr>
                <w:sz w:val="20"/>
                <w:szCs w:val="20"/>
              </w:rPr>
            </w:pPr>
            <w:r w:rsidRPr="00AC28F5">
              <w:rPr>
                <w:color w:val="000000"/>
                <w:sz w:val="20"/>
                <w:szCs w:val="20"/>
              </w:rPr>
              <w:t>0.8 %</w:t>
            </w:r>
          </w:p>
        </w:tc>
        <w:tc>
          <w:tcPr>
            <w:tcW w:w="1531" w:type="dxa"/>
          </w:tcPr>
          <w:p w:rsidR="00344317" w:rsidRPr="00AC28F5" w:rsidRDefault="00344317" w:rsidP="002F0517">
            <w:pPr>
              <w:jc w:val="center"/>
              <w:rPr>
                <w:sz w:val="20"/>
                <w:szCs w:val="20"/>
              </w:rPr>
            </w:pPr>
            <w:r w:rsidRPr="00AC28F5">
              <w:rPr>
                <w:color w:val="000000"/>
                <w:sz w:val="20"/>
                <w:szCs w:val="20"/>
              </w:rPr>
              <w:t>0.6 %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0.4 %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Hungary</w:t>
            </w:r>
            <w:proofErr w:type="spellEnd"/>
          </w:p>
        </w:tc>
        <w:tc>
          <w:tcPr>
            <w:tcW w:w="1530" w:type="dxa"/>
          </w:tcPr>
          <w:p w:rsidR="00344317" w:rsidRPr="00AC28F5" w:rsidRDefault="00344317" w:rsidP="002F0517">
            <w:pPr>
              <w:jc w:val="center"/>
              <w:rPr>
                <w:sz w:val="20"/>
                <w:szCs w:val="20"/>
              </w:rPr>
            </w:pPr>
            <w:r w:rsidRPr="00AC28F5">
              <w:rPr>
                <w:color w:val="000000"/>
                <w:sz w:val="20"/>
                <w:szCs w:val="20"/>
              </w:rPr>
              <w:t>0.5 %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0.4 %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Malta</w:t>
            </w:r>
          </w:p>
        </w:tc>
        <w:tc>
          <w:tcPr>
            <w:tcW w:w="1530" w:type="dxa"/>
          </w:tcPr>
          <w:p w:rsidR="00344317" w:rsidRPr="00AC28F5" w:rsidRDefault="00344317" w:rsidP="002F0517">
            <w:pPr>
              <w:jc w:val="center"/>
              <w:rPr>
                <w:sz w:val="20"/>
                <w:szCs w:val="20"/>
              </w:rPr>
            </w:pPr>
            <w:r w:rsidRPr="00AC28F5">
              <w:rPr>
                <w:color w:val="000000"/>
                <w:sz w:val="20"/>
                <w:szCs w:val="20"/>
              </w:rPr>
              <w:t>1.3 %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4.5 %</w:t>
            </w:r>
          </w:p>
        </w:tc>
        <w:tc>
          <w:tcPr>
            <w:tcW w:w="1531" w:type="dxa"/>
          </w:tcPr>
          <w:p w:rsidR="00344317" w:rsidRPr="00AC28F5" w:rsidRDefault="00344317" w:rsidP="002F0517">
            <w:pPr>
              <w:jc w:val="center"/>
              <w:rPr>
                <w:sz w:val="20"/>
                <w:szCs w:val="20"/>
              </w:rPr>
            </w:pPr>
            <w:r w:rsidRPr="00AC28F5">
              <w:rPr>
                <w:color w:val="000000"/>
                <w:sz w:val="20"/>
                <w:szCs w:val="20"/>
              </w:rPr>
              <w:t>2.7 %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Netherlands</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1.3 %</w:t>
            </w:r>
          </w:p>
        </w:tc>
        <w:tc>
          <w:tcPr>
            <w:tcW w:w="1531" w:type="dxa"/>
          </w:tcPr>
          <w:p w:rsidR="00344317" w:rsidRPr="00AC28F5" w:rsidRDefault="00344317" w:rsidP="002F0517">
            <w:pPr>
              <w:jc w:val="center"/>
              <w:rPr>
                <w:sz w:val="20"/>
                <w:szCs w:val="20"/>
              </w:rPr>
            </w:pPr>
            <w:r w:rsidRPr="00AC28F5">
              <w:rPr>
                <w:color w:val="000000"/>
                <w:sz w:val="20"/>
                <w:szCs w:val="20"/>
              </w:rPr>
              <w:t>3.6 %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1.6 %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Austria</w:t>
            </w:r>
          </w:p>
        </w:tc>
        <w:tc>
          <w:tcPr>
            <w:tcW w:w="1530" w:type="dxa"/>
          </w:tcPr>
          <w:p w:rsidR="00344317" w:rsidRPr="00AC28F5" w:rsidRDefault="00344317" w:rsidP="002F0517">
            <w:pPr>
              <w:jc w:val="center"/>
              <w:rPr>
                <w:sz w:val="20"/>
                <w:szCs w:val="20"/>
              </w:rPr>
            </w:pPr>
            <w:r w:rsidRPr="00AC28F5">
              <w:rPr>
                <w:color w:val="000000"/>
                <w:sz w:val="20"/>
                <w:szCs w:val="20"/>
              </w:rPr>
              <w:t>1.9 %</w:t>
            </w:r>
          </w:p>
        </w:tc>
        <w:tc>
          <w:tcPr>
            <w:tcW w:w="1531" w:type="dxa"/>
          </w:tcPr>
          <w:p w:rsidR="00344317" w:rsidRPr="00AC28F5" w:rsidRDefault="00344317" w:rsidP="002F0517">
            <w:pPr>
              <w:jc w:val="center"/>
              <w:rPr>
                <w:sz w:val="20"/>
                <w:szCs w:val="20"/>
              </w:rPr>
            </w:pPr>
            <w:r w:rsidRPr="00AC28F5">
              <w:rPr>
                <w:color w:val="000000"/>
                <w:sz w:val="20"/>
                <w:szCs w:val="20"/>
              </w:rPr>
              <w:t>3.6 %</w:t>
            </w:r>
          </w:p>
        </w:tc>
        <w:tc>
          <w:tcPr>
            <w:tcW w:w="1531" w:type="dxa"/>
          </w:tcPr>
          <w:p w:rsidR="00344317" w:rsidRPr="00AC28F5" w:rsidRDefault="00344317" w:rsidP="002F0517">
            <w:pPr>
              <w:jc w:val="center"/>
              <w:rPr>
                <w:sz w:val="20"/>
                <w:szCs w:val="20"/>
              </w:rPr>
            </w:pPr>
            <w:r w:rsidRPr="00AC28F5">
              <w:rPr>
                <w:color w:val="000000"/>
                <w:sz w:val="20"/>
                <w:szCs w:val="20"/>
              </w:rPr>
              <w:t>2.1 %</w:t>
            </w:r>
          </w:p>
        </w:tc>
        <w:tc>
          <w:tcPr>
            <w:tcW w:w="1531" w:type="dxa"/>
          </w:tcPr>
          <w:p w:rsidR="00344317" w:rsidRPr="00AC28F5" w:rsidRDefault="00344317" w:rsidP="002F0517">
            <w:pPr>
              <w:jc w:val="center"/>
              <w:rPr>
                <w:sz w:val="20"/>
                <w:szCs w:val="20"/>
              </w:rPr>
            </w:pPr>
            <w:r w:rsidRPr="00AC28F5">
              <w:rPr>
                <w:color w:val="000000"/>
                <w:sz w:val="20"/>
                <w:szCs w:val="20"/>
              </w:rPr>
              <w:t>2.7 %</w:t>
            </w:r>
          </w:p>
        </w:tc>
        <w:tc>
          <w:tcPr>
            <w:tcW w:w="1531" w:type="dxa"/>
          </w:tcPr>
          <w:p w:rsidR="00344317" w:rsidRPr="00AC28F5" w:rsidRDefault="00344317" w:rsidP="002F0517">
            <w:pPr>
              <w:jc w:val="center"/>
              <w:rPr>
                <w:sz w:val="20"/>
                <w:szCs w:val="20"/>
              </w:rPr>
            </w:pPr>
            <w:r w:rsidRPr="00AC28F5">
              <w:rPr>
                <w:color w:val="000000"/>
                <w:sz w:val="20"/>
                <w:szCs w:val="20"/>
              </w:rPr>
              <w:t>3.1 %</w:t>
            </w:r>
          </w:p>
        </w:tc>
      </w:tr>
      <w:tr w:rsidR="0087761D" w:rsidRPr="00634BEF" w:rsidTr="0087761D">
        <w:trPr>
          <w:cantSplit/>
        </w:trPr>
        <w:tc>
          <w:tcPr>
            <w:tcW w:w="1526" w:type="dxa"/>
          </w:tcPr>
          <w:p w:rsidR="00344317" w:rsidRPr="00634BEF" w:rsidRDefault="00344317" w:rsidP="002F0517">
            <w:pPr>
              <w:rPr>
                <w:color w:val="000000"/>
                <w:sz w:val="20"/>
                <w:szCs w:val="20"/>
              </w:rPr>
            </w:pPr>
            <w:proofErr w:type="spellStart"/>
            <w:r w:rsidRPr="00634BEF">
              <w:rPr>
                <w:color w:val="000000"/>
                <w:sz w:val="20"/>
                <w:szCs w:val="20"/>
              </w:rPr>
              <w:t>Poland</w:t>
            </w:r>
            <w:proofErr w:type="spellEnd"/>
          </w:p>
        </w:tc>
        <w:tc>
          <w:tcPr>
            <w:tcW w:w="1530" w:type="dxa"/>
          </w:tcPr>
          <w:p w:rsidR="00344317" w:rsidRPr="00AC28F5" w:rsidRDefault="00344317" w:rsidP="002F0517">
            <w:pPr>
              <w:jc w:val="center"/>
              <w:rPr>
                <w:color w:val="000000"/>
                <w:sz w:val="20"/>
                <w:szCs w:val="20"/>
              </w:rPr>
            </w:pPr>
            <w:r w:rsidRPr="00AC28F5">
              <w:rPr>
                <w:color w:val="000000"/>
                <w:sz w:val="20"/>
                <w:szCs w:val="20"/>
              </w:rPr>
              <w:t>1.5 %</w:t>
            </w:r>
          </w:p>
        </w:tc>
        <w:tc>
          <w:tcPr>
            <w:tcW w:w="1531" w:type="dxa"/>
          </w:tcPr>
          <w:p w:rsidR="00344317" w:rsidRPr="00AC28F5" w:rsidRDefault="00344317" w:rsidP="002F0517">
            <w:pPr>
              <w:jc w:val="center"/>
              <w:rPr>
                <w:sz w:val="20"/>
                <w:szCs w:val="20"/>
              </w:rPr>
            </w:pPr>
            <w:r w:rsidRPr="00AC28F5">
              <w:rPr>
                <w:color w:val="000000"/>
                <w:sz w:val="20"/>
                <w:szCs w:val="20"/>
              </w:rPr>
              <w:t>3.6 %</w:t>
            </w:r>
          </w:p>
        </w:tc>
        <w:tc>
          <w:tcPr>
            <w:tcW w:w="1531" w:type="dxa"/>
          </w:tcPr>
          <w:p w:rsidR="00344317" w:rsidRPr="00AC28F5" w:rsidRDefault="00344317" w:rsidP="002F0517">
            <w:pPr>
              <w:jc w:val="center"/>
              <w:rPr>
                <w:sz w:val="20"/>
                <w:szCs w:val="20"/>
              </w:rPr>
            </w:pPr>
            <w:r w:rsidRPr="00AC28F5">
              <w:rPr>
                <w:color w:val="000000"/>
                <w:sz w:val="20"/>
                <w:szCs w:val="20"/>
              </w:rPr>
              <w:t>4.3 %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1.2 %</w:t>
            </w:r>
          </w:p>
        </w:tc>
      </w:tr>
      <w:tr w:rsidR="0087761D" w:rsidRPr="00634BEF" w:rsidTr="0087761D">
        <w:trPr>
          <w:cantSplit/>
        </w:trPr>
        <w:tc>
          <w:tcPr>
            <w:tcW w:w="1526" w:type="dxa"/>
          </w:tcPr>
          <w:p w:rsidR="00344317" w:rsidRPr="00634BEF" w:rsidRDefault="00344317" w:rsidP="002F0517">
            <w:pPr>
              <w:rPr>
                <w:sz w:val="20"/>
                <w:szCs w:val="20"/>
              </w:rPr>
            </w:pPr>
            <w:r w:rsidRPr="00634BEF">
              <w:rPr>
                <w:color w:val="000000"/>
                <w:sz w:val="20"/>
                <w:szCs w:val="20"/>
              </w:rPr>
              <w:t>Portugal</w:t>
            </w:r>
          </w:p>
        </w:tc>
        <w:tc>
          <w:tcPr>
            <w:tcW w:w="1530" w:type="dxa"/>
          </w:tcPr>
          <w:p w:rsidR="00344317" w:rsidRPr="00AC28F5" w:rsidRDefault="00344317" w:rsidP="002F0517">
            <w:pPr>
              <w:jc w:val="center"/>
              <w:rPr>
                <w:sz w:val="20"/>
                <w:szCs w:val="20"/>
              </w:rPr>
            </w:pPr>
            <w:r w:rsidRPr="00AC28F5">
              <w:rPr>
                <w:color w:val="000000"/>
                <w:sz w:val="20"/>
                <w:szCs w:val="20"/>
              </w:rPr>
              <w:t>1.5 %</w:t>
            </w:r>
          </w:p>
        </w:tc>
        <w:tc>
          <w:tcPr>
            <w:tcW w:w="1531" w:type="dxa"/>
          </w:tcPr>
          <w:p w:rsidR="00344317" w:rsidRPr="00AC28F5" w:rsidRDefault="00344317" w:rsidP="002F0517">
            <w:pPr>
              <w:jc w:val="center"/>
              <w:rPr>
                <w:sz w:val="20"/>
                <w:szCs w:val="20"/>
              </w:rPr>
            </w:pPr>
            <w:r w:rsidRPr="00AC28F5">
              <w:rPr>
                <w:color w:val="000000"/>
                <w:sz w:val="20"/>
                <w:szCs w:val="20"/>
              </w:rPr>
              <w:t>3.6 %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0.9 %</w:t>
            </w:r>
          </w:p>
        </w:tc>
        <w:tc>
          <w:tcPr>
            <w:tcW w:w="1531" w:type="dxa"/>
          </w:tcPr>
          <w:p w:rsidR="00344317" w:rsidRPr="00AC28F5" w:rsidRDefault="00344317" w:rsidP="002F0517">
            <w:pPr>
              <w:jc w:val="center"/>
              <w:rPr>
                <w:sz w:val="20"/>
                <w:szCs w:val="20"/>
              </w:rPr>
            </w:pPr>
            <w:r w:rsidRPr="00AC28F5">
              <w:rPr>
                <w:color w:val="000000"/>
                <w:sz w:val="20"/>
                <w:szCs w:val="20"/>
              </w:rPr>
              <w:t>1.9 %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Slovenia</w:t>
            </w:r>
            <w:proofErr w:type="spellEnd"/>
          </w:p>
        </w:tc>
        <w:tc>
          <w:tcPr>
            <w:tcW w:w="1530" w:type="dxa"/>
          </w:tcPr>
          <w:p w:rsidR="00344317" w:rsidRPr="00AC28F5" w:rsidRDefault="00344317" w:rsidP="002F0517">
            <w:pPr>
              <w:jc w:val="center"/>
              <w:rPr>
                <w:color w:val="000000"/>
                <w:sz w:val="20"/>
                <w:szCs w:val="20"/>
              </w:rPr>
            </w:pPr>
            <w:r w:rsidRPr="00AC28F5">
              <w:rPr>
                <w:color w:val="000000"/>
                <w:sz w:val="20"/>
                <w:szCs w:val="20"/>
              </w:rPr>
              <w:t>0.2 %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0.4 %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Slovakia</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1.2 %</w:t>
            </w:r>
          </w:p>
        </w:tc>
        <w:tc>
          <w:tcPr>
            <w:tcW w:w="1531" w:type="dxa"/>
          </w:tcPr>
          <w:p w:rsidR="00344317" w:rsidRPr="00AC28F5" w:rsidRDefault="00344317" w:rsidP="002F0517">
            <w:pPr>
              <w:jc w:val="center"/>
              <w:rPr>
                <w:sz w:val="20"/>
                <w:szCs w:val="20"/>
              </w:rPr>
            </w:pPr>
            <w:r w:rsidRPr="00AC28F5">
              <w:rPr>
                <w:color w:val="000000"/>
                <w:sz w:val="20"/>
                <w:szCs w:val="20"/>
              </w:rPr>
              <w:t>4.8 %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1.6 %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Finland</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1.0 %</w:t>
            </w:r>
          </w:p>
        </w:tc>
        <w:tc>
          <w:tcPr>
            <w:tcW w:w="1531" w:type="dxa"/>
          </w:tcPr>
          <w:p w:rsidR="00344317" w:rsidRPr="00AC28F5" w:rsidRDefault="00344317" w:rsidP="002F0517">
            <w:pPr>
              <w:jc w:val="center"/>
              <w:rPr>
                <w:sz w:val="20"/>
                <w:szCs w:val="20"/>
              </w:rPr>
            </w:pPr>
            <w:r w:rsidRPr="00AC28F5">
              <w:rPr>
                <w:color w:val="000000"/>
                <w:sz w:val="20"/>
                <w:szCs w:val="20"/>
              </w:rPr>
              <w:t>1.2 %</w:t>
            </w:r>
          </w:p>
        </w:tc>
        <w:tc>
          <w:tcPr>
            <w:tcW w:w="1531" w:type="dxa"/>
          </w:tcPr>
          <w:p w:rsidR="00344317" w:rsidRPr="00AC28F5" w:rsidRDefault="00344317" w:rsidP="002F0517">
            <w:pPr>
              <w:jc w:val="center"/>
              <w:rPr>
                <w:sz w:val="20"/>
                <w:szCs w:val="20"/>
              </w:rPr>
            </w:pPr>
            <w:r w:rsidRPr="00AC28F5">
              <w:rPr>
                <w:color w:val="000000"/>
                <w:sz w:val="20"/>
                <w:szCs w:val="20"/>
              </w:rPr>
              <w:t>1.1 %</w:t>
            </w:r>
          </w:p>
        </w:tc>
        <w:tc>
          <w:tcPr>
            <w:tcW w:w="1531" w:type="dxa"/>
          </w:tcPr>
          <w:p w:rsidR="00344317" w:rsidRPr="00AC28F5" w:rsidRDefault="00344317" w:rsidP="002F0517">
            <w:pPr>
              <w:jc w:val="center"/>
              <w:rPr>
                <w:sz w:val="20"/>
                <w:szCs w:val="20"/>
              </w:rPr>
            </w:pPr>
            <w:r w:rsidRPr="00AC28F5">
              <w:rPr>
                <w:color w:val="000000"/>
                <w:sz w:val="20"/>
                <w:szCs w:val="20"/>
              </w:rPr>
              <w:t>0.9 %</w:t>
            </w:r>
          </w:p>
        </w:tc>
        <w:tc>
          <w:tcPr>
            <w:tcW w:w="1531" w:type="dxa"/>
          </w:tcPr>
          <w:p w:rsidR="00344317" w:rsidRPr="00AC28F5" w:rsidRDefault="00344317" w:rsidP="002F0517">
            <w:pPr>
              <w:jc w:val="center"/>
              <w:rPr>
                <w:sz w:val="20"/>
                <w:szCs w:val="20"/>
              </w:rPr>
            </w:pPr>
            <w:r w:rsidRPr="00AC28F5">
              <w:rPr>
                <w:color w:val="000000"/>
                <w:sz w:val="20"/>
                <w:szCs w:val="20"/>
              </w:rPr>
              <w:t>2.3 %</w:t>
            </w:r>
          </w:p>
        </w:tc>
      </w:tr>
      <w:tr w:rsidR="0087761D" w:rsidRPr="00634BEF" w:rsidTr="0087761D">
        <w:trPr>
          <w:cantSplit/>
        </w:trPr>
        <w:tc>
          <w:tcPr>
            <w:tcW w:w="1526" w:type="dxa"/>
          </w:tcPr>
          <w:p w:rsidR="00344317" w:rsidRPr="00634BEF" w:rsidRDefault="00344317" w:rsidP="002F0517">
            <w:pPr>
              <w:rPr>
                <w:sz w:val="20"/>
                <w:szCs w:val="20"/>
              </w:rPr>
            </w:pPr>
            <w:proofErr w:type="spellStart"/>
            <w:r w:rsidRPr="00634BEF">
              <w:rPr>
                <w:color w:val="000000"/>
                <w:sz w:val="20"/>
                <w:szCs w:val="20"/>
              </w:rPr>
              <w:t>Sweden</w:t>
            </w:r>
            <w:proofErr w:type="spellEnd"/>
          </w:p>
        </w:tc>
        <w:tc>
          <w:tcPr>
            <w:tcW w:w="1530" w:type="dxa"/>
          </w:tcPr>
          <w:p w:rsidR="00344317" w:rsidRPr="00AC28F5" w:rsidRDefault="00344317" w:rsidP="002F0517">
            <w:pPr>
              <w:jc w:val="center"/>
              <w:rPr>
                <w:sz w:val="20"/>
                <w:szCs w:val="20"/>
              </w:rPr>
            </w:pPr>
            <w:r w:rsidRPr="00AC28F5">
              <w:rPr>
                <w:color w:val="000000"/>
                <w:sz w:val="20"/>
                <w:szCs w:val="20"/>
              </w:rPr>
              <w:t>1.9 %</w:t>
            </w:r>
          </w:p>
        </w:tc>
        <w:tc>
          <w:tcPr>
            <w:tcW w:w="1531" w:type="dxa"/>
          </w:tcPr>
          <w:p w:rsidR="00344317" w:rsidRPr="00AC28F5" w:rsidRDefault="00344317" w:rsidP="002F0517">
            <w:pPr>
              <w:jc w:val="center"/>
              <w:rPr>
                <w:sz w:val="20"/>
                <w:szCs w:val="20"/>
              </w:rPr>
            </w:pPr>
            <w:r w:rsidRPr="00AC28F5">
              <w:rPr>
                <w:color w:val="000000"/>
                <w:sz w:val="20"/>
                <w:szCs w:val="20"/>
              </w:rPr>
              <w:t>4.8 %</w:t>
            </w:r>
          </w:p>
        </w:tc>
        <w:tc>
          <w:tcPr>
            <w:tcW w:w="1531" w:type="dxa"/>
          </w:tcPr>
          <w:p w:rsidR="00344317" w:rsidRPr="00AC28F5" w:rsidRDefault="00344317" w:rsidP="002F0517">
            <w:pPr>
              <w:jc w:val="center"/>
              <w:rPr>
                <w:sz w:val="20"/>
                <w:szCs w:val="20"/>
              </w:rPr>
            </w:pPr>
            <w:r w:rsidRPr="00AC28F5">
              <w:rPr>
                <w:color w:val="000000"/>
                <w:sz w:val="20"/>
                <w:szCs w:val="20"/>
              </w:rPr>
              <w:t>2.1 %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3.1 %</w:t>
            </w:r>
          </w:p>
        </w:tc>
      </w:tr>
      <w:tr w:rsidR="0087761D" w:rsidRPr="00634BEF" w:rsidTr="0087761D">
        <w:trPr>
          <w:cantSplit/>
        </w:trPr>
        <w:tc>
          <w:tcPr>
            <w:tcW w:w="1526" w:type="dxa"/>
          </w:tcPr>
          <w:p w:rsidR="00344317" w:rsidRPr="00634BEF" w:rsidRDefault="00344317" w:rsidP="002F0517">
            <w:pPr>
              <w:rPr>
                <w:color w:val="000000"/>
                <w:sz w:val="20"/>
                <w:szCs w:val="20"/>
              </w:rPr>
            </w:pPr>
            <w:r w:rsidRPr="00634BEF">
              <w:rPr>
                <w:color w:val="000000"/>
                <w:sz w:val="20"/>
                <w:szCs w:val="20"/>
              </w:rPr>
              <w:t>UK</w:t>
            </w:r>
          </w:p>
        </w:tc>
        <w:tc>
          <w:tcPr>
            <w:tcW w:w="1530" w:type="dxa"/>
          </w:tcPr>
          <w:p w:rsidR="00344317" w:rsidRPr="00AC28F5" w:rsidRDefault="00344317" w:rsidP="002F0517">
            <w:pPr>
              <w:jc w:val="center"/>
              <w:rPr>
                <w:color w:val="000000"/>
                <w:sz w:val="20"/>
                <w:szCs w:val="20"/>
              </w:rPr>
            </w:pPr>
            <w:r w:rsidRPr="00AC28F5">
              <w:rPr>
                <w:color w:val="000000"/>
                <w:sz w:val="20"/>
                <w:szCs w:val="20"/>
              </w:rPr>
              <w:t>2.7 %</w:t>
            </w:r>
          </w:p>
        </w:tc>
        <w:tc>
          <w:tcPr>
            <w:tcW w:w="1531" w:type="dxa"/>
          </w:tcPr>
          <w:p w:rsidR="00344317" w:rsidRPr="00AC28F5" w:rsidRDefault="00344317" w:rsidP="002F0517">
            <w:pPr>
              <w:jc w:val="center"/>
              <w:rPr>
                <w:sz w:val="20"/>
                <w:szCs w:val="20"/>
              </w:rPr>
            </w:pPr>
            <w:r w:rsidRPr="00AC28F5">
              <w:rPr>
                <w:color w:val="000000"/>
                <w:sz w:val="20"/>
                <w:szCs w:val="20"/>
              </w:rPr>
              <w:t>7.8 %</w:t>
            </w:r>
          </w:p>
        </w:tc>
        <w:tc>
          <w:tcPr>
            <w:tcW w:w="1531" w:type="dxa"/>
          </w:tcPr>
          <w:p w:rsidR="00344317" w:rsidRPr="00AC28F5" w:rsidRDefault="00344317" w:rsidP="002F0517">
            <w:pPr>
              <w:jc w:val="center"/>
              <w:rPr>
                <w:sz w:val="20"/>
                <w:szCs w:val="20"/>
              </w:rPr>
            </w:pPr>
            <w:r w:rsidRPr="00AC28F5">
              <w:rPr>
                <w:color w:val="000000"/>
                <w:sz w:val="20"/>
                <w:szCs w:val="20"/>
              </w:rPr>
              <w:t>2.1 %</w:t>
            </w:r>
          </w:p>
        </w:tc>
        <w:tc>
          <w:tcPr>
            <w:tcW w:w="1531" w:type="dxa"/>
          </w:tcPr>
          <w:p w:rsidR="00344317" w:rsidRPr="00AC28F5" w:rsidRDefault="00344317" w:rsidP="002F0517">
            <w:pPr>
              <w:jc w:val="center"/>
              <w:rPr>
                <w:sz w:val="20"/>
                <w:szCs w:val="20"/>
              </w:rPr>
            </w:pPr>
            <w:r w:rsidRPr="00AC28F5">
              <w:rPr>
                <w:color w:val="000000"/>
                <w:sz w:val="20"/>
                <w:szCs w:val="20"/>
              </w:rPr>
              <w:t>1.8 %</w:t>
            </w:r>
          </w:p>
        </w:tc>
        <w:tc>
          <w:tcPr>
            <w:tcW w:w="1531" w:type="dxa"/>
          </w:tcPr>
          <w:p w:rsidR="00344317" w:rsidRPr="00AC28F5" w:rsidRDefault="00344317" w:rsidP="002F0517">
            <w:pPr>
              <w:jc w:val="center"/>
              <w:rPr>
                <w:sz w:val="20"/>
                <w:szCs w:val="20"/>
              </w:rPr>
            </w:pPr>
            <w:r w:rsidRPr="00AC28F5">
              <w:rPr>
                <w:color w:val="000000"/>
                <w:sz w:val="20"/>
                <w:szCs w:val="20"/>
              </w:rPr>
              <w:t>2.7 %</w:t>
            </w:r>
          </w:p>
        </w:tc>
      </w:tr>
      <w:tr w:rsidR="0087761D" w:rsidRPr="00634BEF" w:rsidTr="0087761D">
        <w:trPr>
          <w:cantSplit/>
        </w:trPr>
        <w:tc>
          <w:tcPr>
            <w:tcW w:w="1526" w:type="dxa"/>
          </w:tcPr>
          <w:p w:rsidR="00344317" w:rsidRPr="00634BEF" w:rsidRDefault="00344317" w:rsidP="002F0517">
            <w:pPr>
              <w:rPr>
                <w:color w:val="000000"/>
                <w:sz w:val="20"/>
                <w:szCs w:val="20"/>
              </w:rPr>
            </w:pPr>
            <w:proofErr w:type="spellStart"/>
            <w:r w:rsidRPr="00634BEF">
              <w:rPr>
                <w:color w:val="000000"/>
                <w:sz w:val="20"/>
                <w:szCs w:val="20"/>
              </w:rPr>
              <w:t>Bulgaria</w:t>
            </w:r>
            <w:proofErr w:type="spellEnd"/>
          </w:p>
        </w:tc>
        <w:tc>
          <w:tcPr>
            <w:tcW w:w="1530" w:type="dxa"/>
          </w:tcPr>
          <w:p w:rsidR="00344317" w:rsidRPr="00AC28F5" w:rsidRDefault="00344317" w:rsidP="002F0517">
            <w:pPr>
              <w:jc w:val="center"/>
              <w:rPr>
                <w:color w:val="000000"/>
                <w:sz w:val="20"/>
                <w:szCs w:val="20"/>
              </w:rPr>
            </w:pPr>
            <w:r w:rsidRPr="00AC28F5">
              <w:rPr>
                <w:color w:val="000000"/>
                <w:sz w:val="20"/>
                <w:szCs w:val="20"/>
              </w:rPr>
              <w:t>0.5 %</w:t>
            </w:r>
          </w:p>
        </w:tc>
        <w:tc>
          <w:tcPr>
            <w:tcW w:w="1531" w:type="dxa"/>
          </w:tcPr>
          <w:p w:rsidR="00344317" w:rsidRPr="00AC28F5" w:rsidRDefault="00344317" w:rsidP="002F0517">
            <w:pPr>
              <w:jc w:val="center"/>
              <w:rPr>
                <w:sz w:val="20"/>
                <w:szCs w:val="20"/>
              </w:rPr>
            </w:pPr>
            <w:r w:rsidRPr="00AC28F5">
              <w:rPr>
                <w:color w:val="000000"/>
                <w:sz w:val="20"/>
                <w:szCs w:val="20"/>
              </w:rPr>
              <w:t>1.0 %</w:t>
            </w:r>
          </w:p>
        </w:tc>
        <w:tc>
          <w:tcPr>
            <w:tcW w:w="1531" w:type="dxa"/>
          </w:tcPr>
          <w:p w:rsidR="00344317" w:rsidRPr="00AC28F5" w:rsidRDefault="00344317" w:rsidP="002F0517">
            <w:pPr>
              <w:jc w:val="center"/>
              <w:rPr>
                <w:sz w:val="20"/>
                <w:szCs w:val="20"/>
              </w:rPr>
            </w:pPr>
            <w:r w:rsidRPr="00AC28F5">
              <w:rPr>
                <w:color w:val="000000"/>
                <w:sz w:val="20"/>
                <w:szCs w:val="20"/>
              </w:rPr>
              <w:t>1.9 %</w:t>
            </w:r>
          </w:p>
        </w:tc>
        <w:tc>
          <w:tcPr>
            <w:tcW w:w="1531" w:type="dxa"/>
          </w:tcPr>
          <w:p w:rsidR="00344317" w:rsidRPr="00AC28F5" w:rsidRDefault="00344317" w:rsidP="002F0517">
            <w:pPr>
              <w:jc w:val="center"/>
              <w:rPr>
                <w:sz w:val="20"/>
                <w:szCs w:val="20"/>
              </w:rPr>
            </w:pPr>
            <w:r w:rsidRPr="00AC28F5">
              <w:rPr>
                <w:color w:val="000000"/>
                <w:sz w:val="20"/>
                <w:szCs w:val="20"/>
              </w:rPr>
              <w:t>0.0 %</w:t>
            </w:r>
          </w:p>
        </w:tc>
        <w:tc>
          <w:tcPr>
            <w:tcW w:w="1531" w:type="dxa"/>
          </w:tcPr>
          <w:p w:rsidR="00344317" w:rsidRPr="00AC28F5" w:rsidRDefault="00344317" w:rsidP="002F0517">
            <w:pPr>
              <w:jc w:val="center"/>
              <w:rPr>
                <w:sz w:val="20"/>
                <w:szCs w:val="20"/>
              </w:rPr>
            </w:pPr>
            <w:r w:rsidRPr="00AC28F5">
              <w:rPr>
                <w:color w:val="000000"/>
                <w:sz w:val="20"/>
                <w:szCs w:val="20"/>
              </w:rPr>
              <w:t>0.6 %</w:t>
            </w:r>
          </w:p>
        </w:tc>
      </w:tr>
      <w:tr w:rsidR="0087761D" w:rsidRPr="00634BEF" w:rsidTr="0087761D">
        <w:trPr>
          <w:cantSplit/>
        </w:trPr>
        <w:tc>
          <w:tcPr>
            <w:tcW w:w="1526" w:type="dxa"/>
          </w:tcPr>
          <w:p w:rsidR="00344317" w:rsidRPr="00634BEF" w:rsidRDefault="00344317" w:rsidP="002F0517">
            <w:pPr>
              <w:rPr>
                <w:color w:val="000000"/>
                <w:sz w:val="20"/>
                <w:szCs w:val="20"/>
              </w:rPr>
            </w:pPr>
            <w:r w:rsidRPr="00634BEF">
              <w:rPr>
                <w:color w:val="000000"/>
                <w:sz w:val="20"/>
                <w:szCs w:val="20"/>
              </w:rPr>
              <w:t>Romania</w:t>
            </w:r>
          </w:p>
        </w:tc>
        <w:tc>
          <w:tcPr>
            <w:tcW w:w="1530" w:type="dxa"/>
          </w:tcPr>
          <w:p w:rsidR="00344317" w:rsidRPr="00AC28F5" w:rsidRDefault="00344317" w:rsidP="002F0517">
            <w:pPr>
              <w:jc w:val="center"/>
              <w:rPr>
                <w:sz w:val="20"/>
                <w:szCs w:val="20"/>
              </w:rPr>
            </w:pPr>
            <w:r w:rsidRPr="00AC28F5">
              <w:rPr>
                <w:color w:val="000000"/>
                <w:sz w:val="20"/>
                <w:szCs w:val="20"/>
              </w:rPr>
              <w:t>0.7 %</w:t>
            </w:r>
          </w:p>
        </w:tc>
        <w:tc>
          <w:tcPr>
            <w:tcW w:w="1531" w:type="dxa"/>
          </w:tcPr>
          <w:p w:rsidR="00344317" w:rsidRPr="00AC28F5" w:rsidRDefault="00344317" w:rsidP="002F0517">
            <w:pPr>
              <w:jc w:val="center"/>
              <w:rPr>
                <w:sz w:val="20"/>
                <w:szCs w:val="20"/>
              </w:rPr>
            </w:pPr>
            <w:r w:rsidRPr="00AC28F5">
              <w:rPr>
                <w:color w:val="000000"/>
                <w:sz w:val="20"/>
                <w:szCs w:val="20"/>
              </w:rPr>
              <w:t>3.9 %</w:t>
            </w:r>
          </w:p>
        </w:tc>
        <w:tc>
          <w:tcPr>
            <w:tcW w:w="1531" w:type="dxa"/>
          </w:tcPr>
          <w:p w:rsidR="00344317" w:rsidRPr="00AC28F5" w:rsidRDefault="00344317" w:rsidP="002F0517">
            <w:pPr>
              <w:jc w:val="center"/>
              <w:rPr>
                <w:sz w:val="20"/>
                <w:szCs w:val="20"/>
              </w:rPr>
            </w:pPr>
            <w:r w:rsidRPr="00AC28F5">
              <w:rPr>
                <w:color w:val="000000"/>
                <w:sz w:val="20"/>
                <w:szCs w:val="20"/>
              </w:rPr>
              <w:t>1.9 %</w:t>
            </w:r>
          </w:p>
        </w:tc>
        <w:tc>
          <w:tcPr>
            <w:tcW w:w="1531" w:type="dxa"/>
          </w:tcPr>
          <w:p w:rsidR="00344317" w:rsidRPr="00AC28F5" w:rsidRDefault="00344317" w:rsidP="002F0517">
            <w:pPr>
              <w:jc w:val="center"/>
              <w:rPr>
                <w:sz w:val="20"/>
                <w:szCs w:val="20"/>
              </w:rPr>
            </w:pPr>
            <w:r w:rsidRPr="00AC28F5">
              <w:rPr>
                <w:color w:val="000000"/>
                <w:sz w:val="20"/>
                <w:szCs w:val="20"/>
              </w:rPr>
              <w:t>1.4 %</w:t>
            </w:r>
          </w:p>
        </w:tc>
        <w:tc>
          <w:tcPr>
            <w:tcW w:w="1531" w:type="dxa"/>
          </w:tcPr>
          <w:p w:rsidR="00344317" w:rsidRPr="00AC28F5" w:rsidRDefault="00344317" w:rsidP="002F0517">
            <w:pPr>
              <w:jc w:val="center"/>
              <w:rPr>
                <w:sz w:val="20"/>
                <w:szCs w:val="20"/>
              </w:rPr>
            </w:pPr>
            <w:r w:rsidRPr="00AC28F5">
              <w:rPr>
                <w:color w:val="000000"/>
                <w:sz w:val="20"/>
                <w:szCs w:val="20"/>
              </w:rPr>
              <w:t>1.8 %</w:t>
            </w:r>
          </w:p>
        </w:tc>
      </w:tr>
      <w:tr w:rsidR="0087761D" w:rsidRPr="00634BEF" w:rsidTr="0087761D">
        <w:trPr>
          <w:cantSplit/>
        </w:trPr>
        <w:tc>
          <w:tcPr>
            <w:tcW w:w="1526" w:type="dxa"/>
          </w:tcPr>
          <w:p w:rsidR="00344317" w:rsidRPr="00C31E8E" w:rsidRDefault="00344317" w:rsidP="002F0517">
            <w:pPr>
              <w:rPr>
                <w:sz w:val="20"/>
                <w:szCs w:val="20"/>
                <w:lang w:val="en-GB"/>
              </w:rPr>
            </w:pPr>
            <w:r>
              <w:rPr>
                <w:sz w:val="20"/>
                <w:szCs w:val="20"/>
                <w:lang w:val="en-GB"/>
              </w:rPr>
              <w:t>Total number of proposals</w:t>
            </w:r>
          </w:p>
        </w:tc>
        <w:tc>
          <w:tcPr>
            <w:tcW w:w="1530" w:type="dxa"/>
          </w:tcPr>
          <w:p w:rsidR="00344317" w:rsidRPr="00634BEF" w:rsidRDefault="00344317" w:rsidP="002F0517">
            <w:pPr>
              <w:jc w:val="center"/>
              <w:rPr>
                <w:sz w:val="20"/>
                <w:szCs w:val="20"/>
              </w:rPr>
            </w:pPr>
            <w:r>
              <w:rPr>
                <w:sz w:val="20"/>
                <w:szCs w:val="20"/>
              </w:rPr>
              <w:t>960</w:t>
            </w:r>
          </w:p>
        </w:tc>
        <w:tc>
          <w:tcPr>
            <w:tcW w:w="1531" w:type="dxa"/>
          </w:tcPr>
          <w:p w:rsidR="00344317" w:rsidRPr="00634BEF" w:rsidRDefault="00344317" w:rsidP="002F0517">
            <w:pPr>
              <w:jc w:val="center"/>
              <w:rPr>
                <w:sz w:val="20"/>
                <w:szCs w:val="20"/>
              </w:rPr>
            </w:pPr>
            <w:r>
              <w:rPr>
                <w:sz w:val="20"/>
                <w:szCs w:val="20"/>
              </w:rPr>
              <w:t>167</w:t>
            </w:r>
          </w:p>
        </w:tc>
        <w:tc>
          <w:tcPr>
            <w:tcW w:w="1531" w:type="dxa"/>
          </w:tcPr>
          <w:p w:rsidR="00344317" w:rsidRPr="00634BEF" w:rsidRDefault="00344317" w:rsidP="002F0517">
            <w:pPr>
              <w:jc w:val="center"/>
              <w:rPr>
                <w:sz w:val="20"/>
                <w:szCs w:val="20"/>
              </w:rPr>
            </w:pPr>
            <w:r>
              <w:rPr>
                <w:sz w:val="20"/>
                <w:szCs w:val="20"/>
              </w:rPr>
              <w:t>94</w:t>
            </w:r>
          </w:p>
        </w:tc>
        <w:tc>
          <w:tcPr>
            <w:tcW w:w="1531" w:type="dxa"/>
          </w:tcPr>
          <w:p w:rsidR="00344317" w:rsidRPr="00634BEF" w:rsidRDefault="00344317" w:rsidP="002F0517">
            <w:pPr>
              <w:jc w:val="center"/>
              <w:rPr>
                <w:sz w:val="20"/>
                <w:szCs w:val="20"/>
              </w:rPr>
            </w:pPr>
            <w:r>
              <w:rPr>
                <w:sz w:val="20"/>
                <w:szCs w:val="20"/>
              </w:rPr>
              <w:t>111</w:t>
            </w:r>
          </w:p>
        </w:tc>
        <w:tc>
          <w:tcPr>
            <w:tcW w:w="1531" w:type="dxa"/>
          </w:tcPr>
          <w:p w:rsidR="00344317" w:rsidRPr="00634BEF" w:rsidRDefault="00344317" w:rsidP="002F0517">
            <w:pPr>
              <w:jc w:val="center"/>
              <w:rPr>
                <w:sz w:val="20"/>
                <w:szCs w:val="20"/>
              </w:rPr>
            </w:pPr>
            <w:r>
              <w:rPr>
                <w:sz w:val="20"/>
                <w:szCs w:val="20"/>
              </w:rPr>
              <w:t>258</w:t>
            </w:r>
          </w:p>
        </w:tc>
      </w:tr>
      <w:tr w:rsidR="0087761D" w:rsidRPr="00634BEF" w:rsidTr="0087761D">
        <w:trPr>
          <w:cantSplit/>
        </w:trPr>
        <w:tc>
          <w:tcPr>
            <w:tcW w:w="1526" w:type="dxa"/>
          </w:tcPr>
          <w:p w:rsidR="00344317" w:rsidRPr="00C31E8E" w:rsidRDefault="00344317" w:rsidP="002F0517">
            <w:pPr>
              <w:rPr>
                <w:sz w:val="20"/>
                <w:szCs w:val="20"/>
                <w:lang w:val="en-GB"/>
              </w:rPr>
            </w:pPr>
            <w:r>
              <w:rPr>
                <w:sz w:val="20"/>
                <w:szCs w:val="20"/>
                <w:lang w:val="en-GB"/>
              </w:rPr>
              <w:t xml:space="preserve">Share of </w:t>
            </w:r>
            <w:r w:rsidRPr="00C31E8E">
              <w:rPr>
                <w:sz w:val="20"/>
                <w:szCs w:val="20"/>
                <w:lang w:val="en-GB"/>
              </w:rPr>
              <w:t>contested proposals</w:t>
            </w:r>
          </w:p>
        </w:tc>
        <w:tc>
          <w:tcPr>
            <w:tcW w:w="1530" w:type="dxa"/>
          </w:tcPr>
          <w:p w:rsidR="00344317" w:rsidRPr="00634BEF" w:rsidRDefault="00344317" w:rsidP="002F0517">
            <w:pPr>
              <w:jc w:val="center"/>
              <w:rPr>
                <w:sz w:val="20"/>
                <w:szCs w:val="20"/>
              </w:rPr>
            </w:pPr>
            <w:r>
              <w:rPr>
                <w:sz w:val="20"/>
                <w:szCs w:val="20"/>
              </w:rPr>
              <w:t>16 %</w:t>
            </w:r>
          </w:p>
        </w:tc>
        <w:tc>
          <w:tcPr>
            <w:tcW w:w="1531" w:type="dxa"/>
          </w:tcPr>
          <w:p w:rsidR="00344317" w:rsidRPr="00634BEF" w:rsidRDefault="00344317" w:rsidP="002F0517">
            <w:pPr>
              <w:jc w:val="center"/>
              <w:rPr>
                <w:sz w:val="20"/>
                <w:szCs w:val="20"/>
              </w:rPr>
            </w:pPr>
            <w:r>
              <w:rPr>
                <w:sz w:val="20"/>
                <w:szCs w:val="20"/>
              </w:rPr>
              <w:t>36 %</w:t>
            </w:r>
          </w:p>
        </w:tc>
        <w:tc>
          <w:tcPr>
            <w:tcW w:w="1531" w:type="dxa"/>
          </w:tcPr>
          <w:p w:rsidR="00344317" w:rsidRPr="00634BEF" w:rsidRDefault="00344317" w:rsidP="002F0517">
            <w:pPr>
              <w:jc w:val="center"/>
              <w:rPr>
                <w:sz w:val="20"/>
                <w:szCs w:val="20"/>
              </w:rPr>
            </w:pPr>
            <w:r>
              <w:rPr>
                <w:sz w:val="20"/>
                <w:szCs w:val="20"/>
              </w:rPr>
              <w:t>17 %</w:t>
            </w:r>
          </w:p>
        </w:tc>
        <w:tc>
          <w:tcPr>
            <w:tcW w:w="1531" w:type="dxa"/>
          </w:tcPr>
          <w:p w:rsidR="00344317" w:rsidRPr="00634BEF" w:rsidRDefault="00344317" w:rsidP="002F0517">
            <w:pPr>
              <w:jc w:val="center"/>
              <w:rPr>
                <w:sz w:val="20"/>
                <w:szCs w:val="20"/>
              </w:rPr>
            </w:pPr>
            <w:r>
              <w:rPr>
                <w:sz w:val="20"/>
                <w:szCs w:val="20"/>
              </w:rPr>
              <w:t>15 %</w:t>
            </w:r>
          </w:p>
        </w:tc>
        <w:tc>
          <w:tcPr>
            <w:tcW w:w="1531" w:type="dxa"/>
          </w:tcPr>
          <w:p w:rsidR="00344317" w:rsidRPr="00634BEF" w:rsidRDefault="00344317" w:rsidP="002F0517">
            <w:pPr>
              <w:jc w:val="center"/>
              <w:rPr>
                <w:sz w:val="20"/>
                <w:szCs w:val="20"/>
              </w:rPr>
            </w:pPr>
            <w:r>
              <w:rPr>
                <w:sz w:val="20"/>
                <w:szCs w:val="20"/>
              </w:rPr>
              <w:t>18 %</w:t>
            </w:r>
          </w:p>
        </w:tc>
      </w:tr>
    </w:tbl>
    <w:p w:rsidR="00344317" w:rsidRDefault="00344317" w:rsidP="00344317"/>
    <w:p w:rsidR="00344317" w:rsidRDefault="00344317" w:rsidP="00344317"/>
    <w:p w:rsidR="0087761D" w:rsidRDefault="0087761D">
      <w:pPr>
        <w:spacing w:after="200" w:line="276" w:lineRule="auto"/>
        <w:rPr>
          <w:lang w:val="en-US"/>
        </w:rPr>
      </w:pPr>
      <w:r>
        <w:rPr>
          <w:lang w:val="en-US"/>
        </w:rPr>
        <w:br w:type="page"/>
      </w:r>
    </w:p>
    <w:p w:rsidR="00344317" w:rsidRDefault="00344317" w:rsidP="00344317">
      <w:pPr>
        <w:autoSpaceDE w:val="0"/>
        <w:autoSpaceDN w:val="0"/>
        <w:adjustRightInd w:val="0"/>
        <w:rPr>
          <w:lang w:val="en-US"/>
        </w:rPr>
      </w:pPr>
      <w:r w:rsidRPr="000A4DEC">
        <w:rPr>
          <w:lang w:val="en-US"/>
        </w:rPr>
        <w:lastRenderedPageBreak/>
        <w:t>In Table</w:t>
      </w:r>
      <w:r>
        <w:rPr>
          <w:lang w:val="en-US"/>
        </w:rPr>
        <w:t>s</w:t>
      </w:r>
      <w:r w:rsidR="0087761D">
        <w:rPr>
          <w:lang w:val="en-US"/>
        </w:rPr>
        <w:t xml:space="preserve"> A3</w:t>
      </w:r>
      <w:r w:rsidRPr="000A4DEC">
        <w:rPr>
          <w:lang w:val="en-US"/>
        </w:rPr>
        <w:t xml:space="preserve"> </w:t>
      </w:r>
      <w:r w:rsidR="0087761D">
        <w:rPr>
          <w:lang w:val="en-US"/>
        </w:rPr>
        <w:t>and A4</w:t>
      </w:r>
      <w:r>
        <w:rPr>
          <w:lang w:val="en-US"/>
        </w:rPr>
        <w:t xml:space="preserve"> </w:t>
      </w:r>
      <w:r w:rsidRPr="000A4DEC">
        <w:rPr>
          <w:lang w:val="en-US"/>
        </w:rPr>
        <w:t xml:space="preserve">we calculate the same models as in the main text </w:t>
      </w:r>
      <w:r>
        <w:rPr>
          <w:lang w:val="en-US"/>
        </w:rPr>
        <w:t xml:space="preserve">(Tables 4 and 5) </w:t>
      </w:r>
      <w:r w:rsidRPr="000A4DEC">
        <w:rPr>
          <w:lang w:val="en-US"/>
        </w:rPr>
        <w:t xml:space="preserve">using Gary King and </w:t>
      </w:r>
      <w:proofErr w:type="spellStart"/>
      <w:r w:rsidRPr="000A4DEC">
        <w:rPr>
          <w:lang w:val="en-US"/>
        </w:rPr>
        <w:t>Langche</w:t>
      </w:r>
      <w:proofErr w:type="spellEnd"/>
      <w:r w:rsidRPr="000A4DEC">
        <w:rPr>
          <w:lang w:val="en-US"/>
        </w:rPr>
        <w:t xml:space="preserve"> Zeng’s rare events logistic regression Stata </w:t>
      </w:r>
      <w:proofErr w:type="spellStart"/>
      <w:r w:rsidRPr="000A4DEC">
        <w:rPr>
          <w:lang w:val="en-US"/>
        </w:rPr>
        <w:t>programme</w:t>
      </w:r>
      <w:proofErr w:type="spellEnd"/>
      <w:r w:rsidRPr="000A4DEC">
        <w:rPr>
          <w:lang w:val="en-US"/>
        </w:rPr>
        <w:t xml:space="preserve">. </w:t>
      </w:r>
      <w:r>
        <w:rPr>
          <w:lang w:val="en-US"/>
        </w:rPr>
        <w:t>King and Zeng show that with rare events data standard logistical regression results can sharply underestimate the probability of rare events, such as voting against the Council majority in our data. The results do not deviate in any significant way from the results presented in Tables 3 and 4.</w:t>
      </w:r>
      <w:r w:rsidR="00854884">
        <w:rPr>
          <w:lang w:val="en-US"/>
        </w:rPr>
        <w:t xml:space="preserve"> </w:t>
      </w:r>
      <w:r w:rsidRPr="000A4DEC">
        <w:rPr>
          <w:lang w:val="en-US"/>
        </w:rPr>
        <w:t xml:space="preserve">See Gary King and </w:t>
      </w:r>
      <w:proofErr w:type="spellStart"/>
      <w:r w:rsidRPr="000A4DEC">
        <w:rPr>
          <w:lang w:val="en-US"/>
        </w:rPr>
        <w:t>Langche</w:t>
      </w:r>
      <w:proofErr w:type="spellEnd"/>
      <w:r w:rsidRPr="000A4DEC">
        <w:rPr>
          <w:lang w:val="en-US"/>
        </w:rPr>
        <w:t xml:space="preserve"> Zeng (2001): Logistic Regression in Rare Events Data. </w:t>
      </w:r>
      <w:r w:rsidRPr="000A4DEC">
        <w:rPr>
          <w:i/>
          <w:lang w:val="en-US"/>
        </w:rPr>
        <w:t>Political Analysis</w:t>
      </w:r>
      <w:r w:rsidRPr="000A4DEC">
        <w:rPr>
          <w:lang w:val="en-US"/>
        </w:rPr>
        <w:t xml:space="preserve"> 9(2): 137-163.</w:t>
      </w:r>
    </w:p>
    <w:p w:rsidR="00344317" w:rsidRDefault="00344317" w:rsidP="00344317">
      <w:pPr>
        <w:autoSpaceDE w:val="0"/>
        <w:autoSpaceDN w:val="0"/>
        <w:adjustRightInd w:val="0"/>
        <w:rPr>
          <w:lang w:val="en-US"/>
        </w:rPr>
      </w:pPr>
    </w:p>
    <w:p w:rsidR="00344317" w:rsidRPr="00B266D5" w:rsidRDefault="0087761D" w:rsidP="00344317">
      <w:pPr>
        <w:rPr>
          <w:sz w:val="20"/>
          <w:szCs w:val="20"/>
          <w:lang w:val="en-GB"/>
        </w:rPr>
      </w:pPr>
      <w:proofErr w:type="gramStart"/>
      <w:r>
        <w:rPr>
          <w:lang w:val="en-US"/>
        </w:rPr>
        <w:t>Table A3</w:t>
      </w:r>
      <w:r w:rsidR="00344317">
        <w:rPr>
          <w:lang w:val="en-US"/>
        </w:rPr>
        <w:t xml:space="preserve"> Voting against the majority in the Council.</w:t>
      </w:r>
      <w:proofErr w:type="gramEnd"/>
      <w:r w:rsidR="00344317">
        <w:rPr>
          <w:lang w:val="en-US"/>
        </w:rPr>
        <w:t xml:space="preserve"> All legislative proposals 2004-09,</w:t>
      </w:r>
      <w:r w:rsidR="00344317">
        <w:rPr>
          <w:lang w:val="en-GB"/>
        </w:rPr>
        <w:t xml:space="preserve"> rare events logistic regression</w:t>
      </w:r>
    </w:p>
    <w:tbl>
      <w:tblPr>
        <w:tblpPr w:leftFromText="141" w:rightFromText="141" w:vertAnchor="text" w:horzAnchor="margin" w:tblpY="466"/>
        <w:tblW w:w="10173" w:type="dxa"/>
        <w:tblLayout w:type="fixed"/>
        <w:tblLook w:val="0000" w:firstRow="0" w:lastRow="0" w:firstColumn="0" w:lastColumn="0" w:noHBand="0" w:noVBand="0"/>
      </w:tblPr>
      <w:tblGrid>
        <w:gridCol w:w="1668"/>
        <w:gridCol w:w="1063"/>
        <w:gridCol w:w="1063"/>
        <w:gridCol w:w="1063"/>
        <w:gridCol w:w="1063"/>
        <w:gridCol w:w="1063"/>
        <w:gridCol w:w="1063"/>
        <w:gridCol w:w="1063"/>
        <w:gridCol w:w="1064"/>
      </w:tblGrid>
      <w:tr w:rsidR="00FA160A" w:rsidRPr="00592A94" w:rsidTr="00FA160A">
        <w:tc>
          <w:tcPr>
            <w:tcW w:w="1668" w:type="dxa"/>
            <w:tcBorders>
              <w:top w:val="single" w:sz="4" w:space="0" w:color="auto"/>
              <w:left w:val="nil"/>
              <w:bottom w:val="single" w:sz="4" w:space="0" w:color="auto"/>
              <w:right w:val="nil"/>
            </w:tcBorders>
          </w:tcPr>
          <w:p w:rsidR="00FA160A" w:rsidRPr="00CC50C9" w:rsidRDefault="00FA160A" w:rsidP="002F0517">
            <w:pPr>
              <w:widowControl w:val="0"/>
              <w:autoSpaceDE w:val="0"/>
              <w:autoSpaceDN w:val="0"/>
              <w:adjustRightInd w:val="0"/>
              <w:rPr>
                <w:sz w:val="18"/>
                <w:szCs w:val="18"/>
                <w:lang w:val="en-US"/>
              </w:rPr>
            </w:pPr>
          </w:p>
        </w:tc>
        <w:tc>
          <w:tcPr>
            <w:tcW w:w="2126" w:type="dxa"/>
            <w:gridSpan w:val="2"/>
            <w:tcBorders>
              <w:top w:val="single" w:sz="4" w:space="0" w:color="auto"/>
              <w:left w:val="nil"/>
              <w:bottom w:val="single" w:sz="4" w:space="0" w:color="auto"/>
              <w:right w:val="nil"/>
            </w:tcBorders>
          </w:tcPr>
          <w:p w:rsidR="00FA160A" w:rsidRPr="00CC50C9" w:rsidRDefault="00FA160A" w:rsidP="002F0517">
            <w:pPr>
              <w:widowControl w:val="0"/>
              <w:autoSpaceDE w:val="0"/>
              <w:autoSpaceDN w:val="0"/>
              <w:adjustRightInd w:val="0"/>
              <w:jc w:val="center"/>
              <w:rPr>
                <w:sz w:val="18"/>
                <w:szCs w:val="18"/>
                <w:lang w:val="en-US"/>
              </w:rPr>
            </w:pPr>
            <w:r w:rsidRPr="00CC50C9">
              <w:rPr>
                <w:sz w:val="18"/>
                <w:szCs w:val="18"/>
                <w:lang w:val="en-US"/>
              </w:rPr>
              <w:t>Sector Model</w:t>
            </w:r>
          </w:p>
        </w:tc>
        <w:tc>
          <w:tcPr>
            <w:tcW w:w="2126" w:type="dxa"/>
            <w:gridSpan w:val="2"/>
            <w:tcBorders>
              <w:top w:val="single" w:sz="4" w:space="0" w:color="auto"/>
              <w:left w:val="nil"/>
              <w:bottom w:val="single" w:sz="4" w:space="0" w:color="auto"/>
              <w:right w:val="nil"/>
            </w:tcBorders>
          </w:tcPr>
          <w:p w:rsidR="00FA160A" w:rsidRPr="00CC50C9" w:rsidRDefault="00FA160A" w:rsidP="002F0517">
            <w:pPr>
              <w:widowControl w:val="0"/>
              <w:autoSpaceDE w:val="0"/>
              <w:autoSpaceDN w:val="0"/>
              <w:adjustRightInd w:val="0"/>
              <w:jc w:val="center"/>
              <w:rPr>
                <w:sz w:val="18"/>
                <w:szCs w:val="18"/>
                <w:lang w:val="en-US"/>
              </w:rPr>
            </w:pPr>
            <w:r w:rsidRPr="00CC50C9">
              <w:rPr>
                <w:sz w:val="18"/>
                <w:szCs w:val="18"/>
                <w:lang w:val="en-US"/>
              </w:rPr>
              <w:t>Structural Model</w:t>
            </w:r>
          </w:p>
        </w:tc>
        <w:tc>
          <w:tcPr>
            <w:tcW w:w="2126" w:type="dxa"/>
            <w:gridSpan w:val="2"/>
            <w:tcBorders>
              <w:top w:val="single" w:sz="4" w:space="0" w:color="auto"/>
              <w:left w:val="nil"/>
              <w:bottom w:val="single" w:sz="4" w:space="0" w:color="auto"/>
              <w:right w:val="nil"/>
            </w:tcBorders>
          </w:tcPr>
          <w:p w:rsidR="00FA160A" w:rsidRPr="00CC50C9" w:rsidRDefault="00FA160A" w:rsidP="002F0517">
            <w:pPr>
              <w:widowControl w:val="0"/>
              <w:autoSpaceDE w:val="0"/>
              <w:autoSpaceDN w:val="0"/>
              <w:adjustRightInd w:val="0"/>
              <w:jc w:val="center"/>
              <w:rPr>
                <w:sz w:val="18"/>
                <w:szCs w:val="18"/>
                <w:lang w:val="en-US"/>
              </w:rPr>
            </w:pPr>
            <w:r w:rsidRPr="00CC50C9">
              <w:rPr>
                <w:sz w:val="18"/>
                <w:szCs w:val="18"/>
                <w:lang w:val="en-US"/>
              </w:rPr>
              <w:t>Redistribution Model</w:t>
            </w:r>
          </w:p>
        </w:tc>
        <w:tc>
          <w:tcPr>
            <w:tcW w:w="2127" w:type="dxa"/>
            <w:gridSpan w:val="2"/>
            <w:tcBorders>
              <w:top w:val="single" w:sz="4" w:space="0" w:color="auto"/>
              <w:left w:val="nil"/>
              <w:bottom w:val="single" w:sz="4" w:space="0" w:color="auto"/>
              <w:right w:val="nil"/>
            </w:tcBorders>
          </w:tcPr>
          <w:p w:rsidR="00FA160A" w:rsidRPr="00CC50C9" w:rsidRDefault="00FA160A" w:rsidP="002F0517">
            <w:pPr>
              <w:widowControl w:val="0"/>
              <w:autoSpaceDE w:val="0"/>
              <w:autoSpaceDN w:val="0"/>
              <w:adjustRightInd w:val="0"/>
              <w:jc w:val="center"/>
              <w:rPr>
                <w:sz w:val="18"/>
                <w:szCs w:val="18"/>
                <w:lang w:val="en-US"/>
              </w:rPr>
            </w:pPr>
            <w:r w:rsidRPr="00CC50C9">
              <w:rPr>
                <w:sz w:val="18"/>
                <w:szCs w:val="18"/>
                <w:lang w:val="en-US"/>
              </w:rPr>
              <w:t>Institutional-Ideological Model</w:t>
            </w:r>
          </w:p>
        </w:tc>
      </w:tr>
      <w:tr w:rsidR="00FA160A" w:rsidRPr="00592A94" w:rsidTr="00FA160A">
        <w:tc>
          <w:tcPr>
            <w:tcW w:w="1668"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 employment in agriculture</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0.03</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 employment in services</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r w:rsidRPr="00CC50C9">
              <w:rPr>
                <w:sz w:val="18"/>
                <w:szCs w:val="18"/>
                <w:vertAlign w:val="superscript"/>
                <w:lang w:val="en-US"/>
              </w:rPr>
              <w: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r w:rsidRPr="00CC50C9">
              <w:rPr>
                <w:sz w:val="18"/>
                <w:szCs w:val="18"/>
                <w:vertAlign w:val="superscript"/>
                <w:lang w:val="en-US"/>
              </w:rPr>
              <w: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GDP per cap (log)</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0.49***</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0.50***</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(0.21)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(0.21)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Rigidity of Employment Index</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 xml:space="preserve">Unemployment Rate </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0.05***</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0.05***</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Ratio EU Spend./Contrib. (log)</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-0.33***</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(0.09)</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(0.09)</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Veto-player Index</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-0.06</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(0.05)</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(0.09)</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Left-Right Position of Government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0.08</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0.09*</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(0.05)</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(0.05)</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EU Integration Position of Government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-0.03</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p>
        </w:tc>
      </w:tr>
      <w:tr w:rsidR="00FA160A" w:rsidRPr="00700056"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(0.05)</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p>
        </w:tc>
      </w:tr>
      <w:tr w:rsidR="00FA160A" w:rsidRPr="00700056"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 xml:space="preserve">EU Integration Position of Population </w:t>
            </w:r>
          </w:p>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r>
      <w:tr w:rsidR="00FA160A" w:rsidRPr="00700056"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r>
      <w:tr w:rsidR="00FA160A" w:rsidRPr="00700056"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Left-Right Position of Population</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-0.41**</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-0.44**</w:t>
            </w:r>
          </w:p>
        </w:tc>
      </w:tr>
      <w:tr w:rsidR="00FA160A" w:rsidRPr="00700056"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(0.17)</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(0.18)</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QMV</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1.18***</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1.22***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1.18***</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1.17***</w:t>
            </w:r>
          </w:p>
        </w:tc>
      </w:tr>
      <w:tr w:rsidR="00FA160A" w:rsidRPr="00592A94" w:rsidTr="00FA160A">
        <w:trPr>
          <w:trHeight w:val="80"/>
        </w:trPr>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(0.39)</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(0.42)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(0.39)</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(0.39)</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President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-0.86**</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-0.98*</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-1.03**</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(0.51)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(0.50)</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(0.51)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(0.51)</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Commissioner</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0.12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0.24</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0.14</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0.17</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(0.30)</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Other dissenting votes</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0.86</w:t>
            </w:r>
            <w:r w:rsidRPr="00CC50C9">
              <w:rPr>
                <w:sz w:val="18"/>
                <w:szCs w:val="18"/>
                <w:vertAlign w:val="superscript"/>
                <w:lang w:val="en-US"/>
              </w:rPr>
              <w: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0.83***</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0.86***</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0.83***</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0.86***</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0.83***</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0.85***</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0.83</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Constant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-7.84</w:t>
            </w:r>
            <w:r w:rsidRPr="00CC50C9">
              <w:rPr>
                <w:sz w:val="18"/>
                <w:szCs w:val="18"/>
                <w:vertAlign w:val="superscript"/>
                <w:lang w:val="en-US"/>
              </w:rPr>
              <w:t>***</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-8.86***</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-9.61***</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-10.87***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-4.88***</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-5.90***</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-2.46**</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-3.30***</w:t>
            </w:r>
          </w:p>
        </w:tc>
      </w:tr>
      <w:tr w:rsidR="00FA160A" w:rsidRPr="00592A94" w:rsidTr="00FA160A">
        <w:tc>
          <w:tcPr>
            <w:tcW w:w="1668"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(1.22)</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(2.30)</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(2.3)</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(0.08)</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(0.37)</w:t>
            </w:r>
          </w:p>
        </w:tc>
        <w:tc>
          <w:tcPr>
            <w:tcW w:w="1063"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(1.10)</w:t>
            </w:r>
          </w:p>
        </w:tc>
        <w:tc>
          <w:tcPr>
            <w:tcW w:w="1064"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(1.23)</w:t>
            </w:r>
          </w:p>
        </w:tc>
      </w:tr>
      <w:tr w:rsidR="00FA160A" w:rsidRPr="00592A94" w:rsidTr="00FA160A">
        <w:trPr>
          <w:trHeight w:val="70"/>
        </w:trPr>
        <w:tc>
          <w:tcPr>
            <w:tcW w:w="1668"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Observations</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23173</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23173</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1063"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1064"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r>
      <w:tr w:rsidR="00FA160A" w:rsidRPr="00592A94" w:rsidTr="00FA160A">
        <w:trPr>
          <w:trHeight w:val="80"/>
        </w:trPr>
        <w:tc>
          <w:tcPr>
            <w:tcW w:w="1668"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rPr>
                <w:sz w:val="18"/>
                <w:szCs w:val="18"/>
                <w:lang w:val="en-US"/>
              </w:rPr>
            </w:pPr>
          </w:p>
        </w:tc>
        <w:tc>
          <w:tcPr>
            <w:tcW w:w="1063"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3"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1064"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r>
    </w:tbl>
    <w:p w:rsidR="00344317" w:rsidRDefault="00344317" w:rsidP="00344317">
      <w:pPr>
        <w:pStyle w:val="PaperFirstParagraph"/>
        <w:spacing w:line="240" w:lineRule="auto"/>
        <w:rPr>
          <w:sz w:val="20"/>
          <w:szCs w:val="20"/>
          <w:lang w:val="en-US"/>
        </w:rPr>
      </w:pPr>
      <w:r>
        <w:rPr>
          <w:sz w:val="20"/>
          <w:szCs w:val="20"/>
          <w:vertAlign w:val="superscript"/>
          <w:lang w:val="en-US"/>
        </w:rPr>
        <w:t>*</w:t>
      </w:r>
      <w:r>
        <w:rPr>
          <w:sz w:val="20"/>
          <w:szCs w:val="20"/>
          <w:lang w:val="en-US"/>
        </w:rPr>
        <w:t xml:space="preserve"> </w:t>
      </w:r>
      <w:proofErr w:type="gramStart"/>
      <w:r>
        <w:rPr>
          <w:i/>
          <w:iCs/>
          <w:sz w:val="20"/>
          <w:szCs w:val="20"/>
          <w:lang w:val="en-US"/>
        </w:rPr>
        <w:t>p</w:t>
      </w:r>
      <w:proofErr w:type="gramEnd"/>
      <w:r>
        <w:rPr>
          <w:sz w:val="20"/>
          <w:szCs w:val="20"/>
          <w:lang w:val="en-US"/>
        </w:rPr>
        <w:t xml:space="preserve"> &lt; .10, </w:t>
      </w:r>
      <w:r>
        <w:rPr>
          <w:sz w:val="20"/>
          <w:szCs w:val="20"/>
          <w:vertAlign w:val="superscript"/>
          <w:lang w:val="en-US"/>
        </w:rPr>
        <w:t>**</w:t>
      </w:r>
      <w:r>
        <w:rPr>
          <w:sz w:val="20"/>
          <w:szCs w:val="20"/>
          <w:lang w:val="en-US"/>
        </w:rPr>
        <w:t xml:space="preserve"> </w:t>
      </w:r>
      <w:r>
        <w:rPr>
          <w:i/>
          <w:iCs/>
          <w:sz w:val="20"/>
          <w:szCs w:val="20"/>
          <w:lang w:val="en-US"/>
        </w:rPr>
        <w:t>p</w:t>
      </w:r>
      <w:r>
        <w:rPr>
          <w:sz w:val="20"/>
          <w:szCs w:val="20"/>
          <w:lang w:val="en-US"/>
        </w:rPr>
        <w:t xml:space="preserve"> &lt; .05, </w:t>
      </w:r>
      <w:r>
        <w:rPr>
          <w:sz w:val="20"/>
          <w:szCs w:val="20"/>
          <w:vertAlign w:val="superscript"/>
          <w:lang w:val="en-US"/>
        </w:rPr>
        <w:t>***</w:t>
      </w:r>
      <w:r>
        <w:rPr>
          <w:sz w:val="20"/>
          <w:szCs w:val="20"/>
          <w:lang w:val="en-US"/>
        </w:rPr>
        <w:t xml:space="preserve"> </w:t>
      </w:r>
      <w:r>
        <w:rPr>
          <w:i/>
          <w:iCs/>
          <w:sz w:val="20"/>
          <w:szCs w:val="20"/>
          <w:lang w:val="en-US"/>
        </w:rPr>
        <w:t>p</w:t>
      </w:r>
      <w:r>
        <w:rPr>
          <w:sz w:val="20"/>
          <w:szCs w:val="20"/>
          <w:lang w:val="en-US"/>
        </w:rPr>
        <w:t xml:space="preserve"> &lt; .01</w:t>
      </w:r>
    </w:p>
    <w:p w:rsidR="00344317" w:rsidRDefault="00344317" w:rsidP="00344317">
      <w:pPr>
        <w:rPr>
          <w:lang w:val="en-US"/>
        </w:rPr>
      </w:pPr>
      <w:r>
        <w:rPr>
          <w:lang w:val="en-US"/>
        </w:rPr>
        <w:br w:type="page"/>
      </w:r>
    </w:p>
    <w:p w:rsidR="00344317" w:rsidRDefault="0087761D" w:rsidP="00344317">
      <w:pPr>
        <w:spacing w:after="200" w:line="276" w:lineRule="auto"/>
        <w:rPr>
          <w:lang w:val="en-GB"/>
        </w:rPr>
      </w:pPr>
      <w:r>
        <w:rPr>
          <w:lang w:val="en-GB"/>
        </w:rPr>
        <w:lastRenderedPageBreak/>
        <w:t>Table A4</w:t>
      </w:r>
      <w:r w:rsidR="00344317">
        <w:rPr>
          <w:lang w:val="en-GB"/>
        </w:rPr>
        <w:t xml:space="preserve"> </w:t>
      </w:r>
      <w:r w:rsidR="00344317">
        <w:rPr>
          <w:lang w:val="en-US"/>
        </w:rPr>
        <w:t>Voting against the majority in the Council by policy sector 2004-09,</w:t>
      </w:r>
      <w:r w:rsidR="00344317">
        <w:rPr>
          <w:lang w:val="en-GB"/>
        </w:rPr>
        <w:t xml:space="preserve"> rare events logistic regression</w:t>
      </w:r>
    </w:p>
    <w:tbl>
      <w:tblPr>
        <w:tblW w:w="10740" w:type="dxa"/>
        <w:tblLayout w:type="fixed"/>
        <w:tblLook w:val="0000" w:firstRow="0" w:lastRow="0" w:firstColumn="0" w:lastColumn="0" w:noHBand="0" w:noVBand="0"/>
      </w:tblPr>
      <w:tblGrid>
        <w:gridCol w:w="1193"/>
        <w:gridCol w:w="955"/>
        <w:gridCol w:w="238"/>
        <w:gridCol w:w="841"/>
        <w:gridCol w:w="1069"/>
        <w:gridCol w:w="207"/>
        <w:gridCol w:w="850"/>
        <w:gridCol w:w="1091"/>
        <w:gridCol w:w="43"/>
        <w:gridCol w:w="1418"/>
        <w:gridCol w:w="687"/>
        <w:gridCol w:w="163"/>
        <w:gridCol w:w="1985"/>
      </w:tblGrid>
      <w:tr w:rsidR="00344317" w:rsidRPr="00E00A99" w:rsidTr="00CC50C9">
        <w:tc>
          <w:tcPr>
            <w:tcW w:w="2148" w:type="dxa"/>
            <w:gridSpan w:val="2"/>
            <w:tcBorders>
              <w:top w:val="single" w:sz="4" w:space="0" w:color="auto"/>
              <w:left w:val="nil"/>
              <w:bottom w:val="single" w:sz="4" w:space="0" w:color="auto"/>
              <w:right w:val="nil"/>
            </w:tcBorders>
          </w:tcPr>
          <w:p w:rsidR="00344317" w:rsidRPr="00E00A99" w:rsidRDefault="00344317" w:rsidP="006260FE">
            <w:pPr>
              <w:widowControl w:val="0"/>
              <w:autoSpaceDE w:val="0"/>
              <w:autoSpaceDN w:val="0"/>
              <w:adjustRightInd w:val="0"/>
              <w:rPr>
                <w:sz w:val="18"/>
                <w:szCs w:val="18"/>
                <w:lang w:val="en-GB"/>
              </w:rPr>
            </w:pPr>
          </w:p>
        </w:tc>
        <w:tc>
          <w:tcPr>
            <w:tcW w:w="2148" w:type="dxa"/>
            <w:gridSpan w:val="3"/>
            <w:tcBorders>
              <w:top w:val="single" w:sz="4" w:space="0" w:color="auto"/>
              <w:left w:val="nil"/>
              <w:bottom w:val="single" w:sz="4" w:space="0" w:color="auto"/>
              <w:right w:val="nil"/>
            </w:tcBorders>
          </w:tcPr>
          <w:p w:rsidR="00344317" w:rsidRPr="00E00A99" w:rsidRDefault="00344317" w:rsidP="00B01FC7">
            <w:pPr>
              <w:widowControl w:val="0"/>
              <w:autoSpaceDE w:val="0"/>
              <w:autoSpaceDN w:val="0"/>
              <w:adjustRightInd w:val="0"/>
              <w:jc w:val="both"/>
              <w:rPr>
                <w:sz w:val="18"/>
                <w:szCs w:val="18"/>
                <w:lang w:val="en-US"/>
              </w:rPr>
            </w:pPr>
            <w:r w:rsidRPr="00E00A99">
              <w:rPr>
                <w:sz w:val="18"/>
                <w:szCs w:val="18"/>
                <w:lang w:val="en-US"/>
              </w:rPr>
              <w:t>Agriculture</w:t>
            </w:r>
          </w:p>
        </w:tc>
        <w:tc>
          <w:tcPr>
            <w:tcW w:w="2148" w:type="dxa"/>
            <w:gridSpan w:val="3"/>
            <w:tcBorders>
              <w:top w:val="single" w:sz="4" w:space="0" w:color="auto"/>
              <w:left w:val="nil"/>
              <w:bottom w:val="single" w:sz="4" w:space="0" w:color="auto"/>
              <w:right w:val="nil"/>
            </w:tcBorders>
          </w:tcPr>
          <w:p w:rsidR="00344317" w:rsidRPr="00E00A99" w:rsidRDefault="00344317" w:rsidP="006260FE">
            <w:pPr>
              <w:widowControl w:val="0"/>
              <w:autoSpaceDE w:val="0"/>
              <w:autoSpaceDN w:val="0"/>
              <w:adjustRightInd w:val="0"/>
              <w:rPr>
                <w:sz w:val="18"/>
                <w:szCs w:val="18"/>
                <w:lang w:val="en-US"/>
              </w:rPr>
            </w:pPr>
            <w:r w:rsidRPr="00E00A99">
              <w:rPr>
                <w:sz w:val="18"/>
                <w:szCs w:val="18"/>
                <w:lang w:val="en-US"/>
              </w:rPr>
              <w:t>Fishery</w:t>
            </w:r>
          </w:p>
        </w:tc>
        <w:tc>
          <w:tcPr>
            <w:tcW w:w="2148" w:type="dxa"/>
            <w:gridSpan w:val="3"/>
            <w:tcBorders>
              <w:top w:val="single" w:sz="4" w:space="0" w:color="auto"/>
              <w:left w:val="nil"/>
              <w:bottom w:val="single" w:sz="4" w:space="0" w:color="auto"/>
              <w:right w:val="nil"/>
            </w:tcBorders>
          </w:tcPr>
          <w:p w:rsidR="00344317" w:rsidRPr="00E00A99" w:rsidRDefault="00344317" w:rsidP="006260FE">
            <w:pPr>
              <w:widowControl w:val="0"/>
              <w:autoSpaceDE w:val="0"/>
              <w:autoSpaceDN w:val="0"/>
              <w:adjustRightInd w:val="0"/>
              <w:rPr>
                <w:sz w:val="18"/>
                <w:szCs w:val="18"/>
                <w:lang w:val="en-US"/>
              </w:rPr>
            </w:pPr>
            <w:r w:rsidRPr="00E00A99">
              <w:rPr>
                <w:sz w:val="18"/>
                <w:szCs w:val="18"/>
                <w:lang w:val="en-US"/>
              </w:rPr>
              <w:t>Environmental</w:t>
            </w:r>
          </w:p>
        </w:tc>
        <w:tc>
          <w:tcPr>
            <w:tcW w:w="2148" w:type="dxa"/>
            <w:gridSpan w:val="2"/>
            <w:tcBorders>
              <w:top w:val="single" w:sz="4" w:space="0" w:color="auto"/>
              <w:left w:val="nil"/>
              <w:bottom w:val="single" w:sz="4" w:space="0" w:color="auto"/>
              <w:right w:val="nil"/>
            </w:tcBorders>
          </w:tcPr>
          <w:p w:rsidR="00344317" w:rsidRPr="00E00A99" w:rsidRDefault="00344317" w:rsidP="006260FE">
            <w:pPr>
              <w:widowControl w:val="0"/>
              <w:autoSpaceDE w:val="0"/>
              <w:autoSpaceDN w:val="0"/>
              <w:adjustRightInd w:val="0"/>
              <w:rPr>
                <w:sz w:val="18"/>
                <w:szCs w:val="18"/>
                <w:lang w:val="en-US"/>
              </w:rPr>
            </w:pPr>
            <w:r w:rsidRPr="00E00A99">
              <w:rPr>
                <w:sz w:val="18"/>
                <w:szCs w:val="18"/>
                <w:lang w:val="en-US"/>
              </w:rPr>
              <w:t>Economic</w:t>
            </w:r>
          </w:p>
        </w:tc>
      </w:tr>
      <w:tr w:rsidR="002F66B5" w:rsidRPr="00E00A99" w:rsidTr="002F66B5">
        <w:tc>
          <w:tcPr>
            <w:tcW w:w="1193" w:type="dxa"/>
            <w:tcBorders>
              <w:top w:val="single" w:sz="4" w:space="0" w:color="auto"/>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Ratio EU Spend./Contrib. (log)</w:t>
            </w:r>
          </w:p>
        </w:tc>
        <w:tc>
          <w:tcPr>
            <w:tcW w:w="1193" w:type="dxa"/>
            <w:gridSpan w:val="2"/>
            <w:tcBorders>
              <w:top w:val="single" w:sz="4" w:space="0" w:color="auto"/>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-0.18</w:t>
            </w:r>
          </w:p>
        </w:tc>
        <w:tc>
          <w:tcPr>
            <w:tcW w:w="841" w:type="dxa"/>
            <w:tcBorders>
              <w:top w:val="single" w:sz="4" w:space="0" w:color="auto"/>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-0.18</w:t>
            </w:r>
          </w:p>
        </w:tc>
        <w:tc>
          <w:tcPr>
            <w:tcW w:w="1276" w:type="dxa"/>
            <w:gridSpan w:val="2"/>
            <w:tcBorders>
              <w:top w:val="single" w:sz="4" w:space="0" w:color="auto"/>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0.27</w:t>
            </w:r>
          </w:p>
        </w:tc>
        <w:tc>
          <w:tcPr>
            <w:tcW w:w="850" w:type="dxa"/>
            <w:tcBorders>
              <w:top w:val="single" w:sz="4" w:space="0" w:color="auto"/>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single" w:sz="4" w:space="0" w:color="auto"/>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-0.66</w:t>
            </w:r>
            <w:r w:rsidRPr="00E00A99">
              <w:rPr>
                <w:sz w:val="18"/>
                <w:szCs w:val="18"/>
                <w:vertAlign w:val="superscript"/>
                <w:lang w:val="en-US"/>
              </w:rPr>
              <w:t>***</w:t>
            </w:r>
          </w:p>
        </w:tc>
        <w:tc>
          <w:tcPr>
            <w:tcW w:w="1418" w:type="dxa"/>
            <w:tcBorders>
              <w:top w:val="single" w:sz="4" w:space="0" w:color="auto"/>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-0.66*</w:t>
            </w:r>
            <w:r w:rsidRPr="00E00A99">
              <w:rPr>
                <w:sz w:val="18"/>
                <w:szCs w:val="18"/>
                <w:vertAlign w:val="superscript"/>
                <w:lang w:val="en-US"/>
              </w:rPr>
              <w:t>**</w:t>
            </w:r>
          </w:p>
        </w:tc>
        <w:tc>
          <w:tcPr>
            <w:tcW w:w="850" w:type="dxa"/>
            <w:gridSpan w:val="2"/>
            <w:tcBorders>
              <w:top w:val="single" w:sz="4" w:space="0" w:color="auto"/>
              <w:left w:val="nil"/>
              <w:bottom w:val="nil"/>
              <w:right w:val="nil"/>
            </w:tcBorders>
            <w:shd w:val="clear" w:color="auto" w:fill="auto"/>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-0.67</w:t>
            </w:r>
            <w:r w:rsidRPr="00E00A99">
              <w:rPr>
                <w:sz w:val="18"/>
                <w:szCs w:val="18"/>
                <w:vertAlign w:val="superscript"/>
                <w:lang w:val="en-US"/>
              </w:rPr>
              <w:t>***</w:t>
            </w:r>
          </w:p>
        </w:tc>
        <w:tc>
          <w:tcPr>
            <w:tcW w:w="1985" w:type="dxa"/>
            <w:tcBorders>
              <w:top w:val="single" w:sz="4" w:space="0" w:color="auto"/>
              <w:left w:val="nil"/>
              <w:bottom w:val="nil"/>
              <w:right w:val="nil"/>
            </w:tcBorders>
            <w:shd w:val="clear" w:color="auto" w:fill="auto"/>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-0.69</w:t>
            </w:r>
            <w:r w:rsidRPr="00E00A99">
              <w:rPr>
                <w:sz w:val="18"/>
                <w:szCs w:val="18"/>
                <w:vertAlign w:val="superscript"/>
                <w:lang w:val="en-US"/>
              </w:rPr>
              <w:t>***</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(0.14)</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(0.19)</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(0.22)</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(0.22)</w:t>
            </w:r>
          </w:p>
        </w:tc>
        <w:tc>
          <w:tcPr>
            <w:tcW w:w="850" w:type="dxa"/>
            <w:gridSpan w:val="2"/>
            <w:tcBorders>
              <w:top w:val="nil"/>
              <w:left w:val="nil"/>
              <w:bottom w:val="nil"/>
              <w:right w:val="nil"/>
            </w:tcBorders>
            <w:shd w:val="clear" w:color="auto" w:fill="auto"/>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(0.04)</w:t>
            </w:r>
          </w:p>
        </w:tc>
        <w:tc>
          <w:tcPr>
            <w:tcW w:w="1985" w:type="dxa"/>
            <w:tcBorders>
              <w:top w:val="nil"/>
              <w:left w:val="nil"/>
              <w:bottom w:val="nil"/>
              <w:right w:val="nil"/>
            </w:tcBorders>
            <w:shd w:val="clear" w:color="auto" w:fill="auto"/>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(0.21)</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Left-Right Position</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0.09</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0.08</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0.03</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(0.16)</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GB"/>
              </w:rPr>
            </w:pPr>
            <w:r w:rsidRPr="00E00A99">
              <w:rPr>
                <w:sz w:val="18"/>
                <w:szCs w:val="18"/>
                <w:lang w:val="en-GB"/>
              </w:rPr>
              <w:t xml:space="preserve">Agriculture value added per worker </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-0.01</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-0.01</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Fishery Production (log)</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0.26</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(0.17)</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Gov. position on tax vs. spending</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0.00</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-0.00</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(0.04)</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(0.04)</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Government Debt</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rPr>
          <w:trHeight w:val="305"/>
        </w:trPr>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fr-CH"/>
              </w:rPr>
            </w:pPr>
            <w:proofErr w:type="spellStart"/>
            <w:r w:rsidRPr="00E00A99">
              <w:rPr>
                <w:sz w:val="18"/>
                <w:szCs w:val="18"/>
                <w:lang w:val="fr-CH"/>
              </w:rPr>
              <w:t>Gov</w:t>
            </w:r>
            <w:proofErr w:type="spellEnd"/>
            <w:r w:rsidRPr="00E00A99">
              <w:rPr>
                <w:sz w:val="18"/>
                <w:szCs w:val="18"/>
                <w:lang w:val="fr-CH"/>
              </w:rPr>
              <w:t xml:space="preserve">. pos. on </w:t>
            </w:r>
            <w:proofErr w:type="spellStart"/>
            <w:r w:rsidRPr="00E00A99">
              <w:rPr>
                <w:sz w:val="18"/>
                <w:szCs w:val="18"/>
                <w:lang w:val="fr-CH"/>
              </w:rPr>
              <w:t>environment</w:t>
            </w:r>
            <w:proofErr w:type="spellEnd"/>
            <w:r w:rsidRPr="00E00A99">
              <w:rPr>
                <w:sz w:val="18"/>
                <w:szCs w:val="18"/>
                <w:lang w:val="fr-CH"/>
              </w:rPr>
              <w:t xml:space="preserve"> protection</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fr-CH"/>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fr-CH"/>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fr-CH"/>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fr-CH"/>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0.17***</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0.17***</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(0.06)</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(0.06)</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roofErr w:type="spellStart"/>
            <w:r w:rsidRPr="00E00A99">
              <w:rPr>
                <w:sz w:val="18"/>
                <w:szCs w:val="18"/>
                <w:lang w:val="en-US"/>
              </w:rPr>
              <w:t>SOx</w:t>
            </w:r>
            <w:proofErr w:type="spellEnd"/>
            <w:r w:rsidRPr="00E00A99">
              <w:rPr>
                <w:sz w:val="18"/>
                <w:szCs w:val="18"/>
                <w:lang w:val="en-US"/>
              </w:rPr>
              <w:t xml:space="preserve"> emissions per cap (log)</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0.51</w:t>
            </w:r>
            <w:r w:rsidRPr="00E00A99">
              <w:rPr>
                <w:sz w:val="18"/>
                <w:szCs w:val="18"/>
                <w:vertAlign w:val="superscript"/>
                <w:lang w:val="en-US"/>
              </w:rPr>
              <w:t>*</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0.51</w:t>
            </w:r>
            <w:r w:rsidRPr="00E00A99">
              <w:rPr>
                <w:sz w:val="18"/>
                <w:szCs w:val="18"/>
                <w:vertAlign w:val="superscript"/>
                <w:lang w:val="en-US"/>
              </w:rPr>
              <w:t>*</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(0.30)</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(0.30)</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GDP per cap (log)</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-0.98*</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-1.0*</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(0.50)</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(0.50)</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QMV</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0.21</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-1.08</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1.12</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(0.70)</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(0.89)</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(0.99)</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President</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-0.57</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-0.96</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(0.64)</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(1.04)</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Commissioner</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0.41</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0.65</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(0.42)</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(0.45)</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Other dissenting votes</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0.70</w:t>
            </w:r>
            <w:r w:rsidRPr="00E00A99">
              <w:rPr>
                <w:sz w:val="18"/>
                <w:szCs w:val="18"/>
                <w:vertAlign w:val="superscript"/>
                <w:lang w:val="en-US"/>
              </w:rPr>
              <w:t>***</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0.69</w:t>
            </w:r>
            <w:r w:rsidRPr="00E00A99">
              <w:rPr>
                <w:sz w:val="18"/>
                <w:szCs w:val="18"/>
                <w:vertAlign w:val="superscript"/>
                <w:lang w:val="en-US"/>
              </w:rPr>
              <w:t>***</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0.64</w:t>
            </w:r>
            <w:r w:rsidRPr="00E00A99">
              <w:rPr>
                <w:sz w:val="18"/>
                <w:szCs w:val="18"/>
                <w:vertAlign w:val="superscript"/>
                <w:lang w:val="en-US"/>
              </w:rPr>
              <w:t>***</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1.07</w:t>
            </w:r>
            <w:r w:rsidRPr="00E00A99">
              <w:rPr>
                <w:sz w:val="18"/>
                <w:szCs w:val="18"/>
                <w:vertAlign w:val="superscript"/>
                <w:lang w:val="en-US"/>
              </w:rPr>
              <w:t>***</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1.09</w:t>
            </w:r>
            <w:r w:rsidRPr="00E00A99">
              <w:rPr>
                <w:sz w:val="18"/>
                <w:szCs w:val="18"/>
                <w:vertAlign w:val="superscript"/>
                <w:lang w:val="en-US"/>
              </w:rPr>
              <w:t xml:space="preserve"> ***</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0.76</w:t>
            </w:r>
            <w:r w:rsidRPr="00E00A99">
              <w:rPr>
                <w:sz w:val="18"/>
                <w:szCs w:val="18"/>
                <w:vertAlign w:val="superscript"/>
                <w:lang w:val="en-US"/>
              </w:rPr>
              <w:t>***</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0.75</w:t>
            </w:r>
            <w:r w:rsidRPr="00E00A99">
              <w:rPr>
                <w:sz w:val="18"/>
                <w:szCs w:val="18"/>
                <w:vertAlign w:val="superscript"/>
                <w:lang w:val="en-US"/>
              </w:rPr>
              <w:t>***</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(0.07)</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(0.09)</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(0.09)</w:t>
            </w:r>
            <w:r w:rsidRPr="00E00A99">
              <w:rPr>
                <w:sz w:val="18"/>
                <w:szCs w:val="18"/>
                <w:vertAlign w:val="superscript"/>
                <w:lang w:val="en-US"/>
              </w:rPr>
              <w:t xml:space="preserve"> </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(0.06)</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(0.06)</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Constant</w:t>
            </w: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-4.6</w:t>
            </w:r>
            <w:r w:rsidRPr="00E00A99">
              <w:rPr>
                <w:sz w:val="18"/>
                <w:szCs w:val="18"/>
                <w:vertAlign w:val="superscript"/>
                <w:lang w:val="en-US"/>
              </w:rPr>
              <w:t>***</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-4.75</w:t>
            </w:r>
            <w:r w:rsidRPr="00E00A99">
              <w:rPr>
                <w:sz w:val="18"/>
                <w:szCs w:val="18"/>
                <w:vertAlign w:val="superscript"/>
                <w:lang w:val="en-US"/>
              </w:rPr>
              <w:t>***</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-8.13</w:t>
            </w:r>
            <w:r w:rsidRPr="00E00A99">
              <w:rPr>
                <w:sz w:val="18"/>
                <w:szCs w:val="18"/>
                <w:vertAlign w:val="superscript"/>
                <w:lang w:val="en-US"/>
              </w:rPr>
              <w:t>***</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-4.99</w:t>
            </w:r>
            <w:r w:rsidRPr="00E00A99">
              <w:rPr>
                <w:sz w:val="18"/>
                <w:szCs w:val="18"/>
                <w:vertAlign w:val="superscript"/>
                <w:lang w:val="en-US"/>
              </w:rPr>
              <w:t>***</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-3.94**</w:t>
            </w:r>
            <w:r w:rsidRPr="00E00A99">
              <w:rPr>
                <w:sz w:val="18"/>
                <w:szCs w:val="18"/>
                <w:vertAlign w:val="superscript"/>
                <w:lang w:val="en-US"/>
              </w:rPr>
              <w:t>*</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5.22</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4.44</w:t>
            </w:r>
          </w:p>
        </w:tc>
      </w:tr>
      <w:tr w:rsidR="002F66B5" w:rsidRPr="00E00A99" w:rsidTr="002F66B5">
        <w:tc>
          <w:tcPr>
            <w:tcW w:w="1193" w:type="dxa"/>
            <w:tcBorders>
              <w:top w:val="nil"/>
              <w:left w:val="nil"/>
              <w:bottom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(0.48)</w:t>
            </w:r>
          </w:p>
        </w:tc>
        <w:tc>
          <w:tcPr>
            <w:tcW w:w="841"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(0.83)</w:t>
            </w:r>
          </w:p>
        </w:tc>
        <w:tc>
          <w:tcPr>
            <w:tcW w:w="1276"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(1.95)</w:t>
            </w:r>
          </w:p>
        </w:tc>
        <w:tc>
          <w:tcPr>
            <w:tcW w:w="850"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(1.08)</w:t>
            </w:r>
          </w:p>
        </w:tc>
        <w:tc>
          <w:tcPr>
            <w:tcW w:w="1418"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(1.32)</w:t>
            </w:r>
          </w:p>
        </w:tc>
        <w:tc>
          <w:tcPr>
            <w:tcW w:w="850" w:type="dxa"/>
            <w:gridSpan w:val="2"/>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(4.89)</w:t>
            </w:r>
          </w:p>
        </w:tc>
        <w:tc>
          <w:tcPr>
            <w:tcW w:w="1985" w:type="dxa"/>
            <w:tcBorders>
              <w:top w:val="nil"/>
              <w:left w:val="nil"/>
              <w:bottom w:val="nil"/>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(4.97)</w:t>
            </w:r>
          </w:p>
        </w:tc>
      </w:tr>
      <w:tr w:rsidR="002F66B5" w:rsidRPr="00E00A99" w:rsidTr="008F595A">
        <w:tc>
          <w:tcPr>
            <w:tcW w:w="1193" w:type="dxa"/>
            <w:tcBorders>
              <w:top w:val="nil"/>
              <w:left w:val="nil"/>
              <w:right w:val="nil"/>
            </w:tcBorders>
          </w:tcPr>
          <w:p w:rsidR="00344317" w:rsidRPr="00E00A99" w:rsidRDefault="00344317" w:rsidP="002F0517">
            <w:pPr>
              <w:widowControl w:val="0"/>
              <w:autoSpaceDE w:val="0"/>
              <w:autoSpaceDN w:val="0"/>
              <w:adjustRightInd w:val="0"/>
              <w:rPr>
                <w:sz w:val="18"/>
                <w:szCs w:val="18"/>
                <w:lang w:val="en-US"/>
              </w:rPr>
            </w:pPr>
          </w:p>
        </w:tc>
        <w:tc>
          <w:tcPr>
            <w:tcW w:w="1193" w:type="dxa"/>
            <w:gridSpan w:val="2"/>
            <w:tcBorders>
              <w:top w:val="nil"/>
              <w:left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41" w:type="dxa"/>
            <w:tcBorders>
              <w:top w:val="nil"/>
              <w:left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276" w:type="dxa"/>
            <w:gridSpan w:val="2"/>
            <w:tcBorders>
              <w:top w:val="nil"/>
              <w:left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tcBorders>
              <w:top w:val="nil"/>
              <w:left w:val="nil"/>
              <w:right w:val="nil"/>
            </w:tcBorders>
          </w:tcPr>
          <w:p w:rsidR="00344317" w:rsidRPr="00E00A99" w:rsidRDefault="00344317"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418" w:type="dxa"/>
            <w:tcBorders>
              <w:top w:val="nil"/>
              <w:left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850" w:type="dxa"/>
            <w:gridSpan w:val="2"/>
            <w:tcBorders>
              <w:top w:val="nil"/>
              <w:left w:val="nil"/>
              <w:right w:val="nil"/>
            </w:tcBorders>
          </w:tcPr>
          <w:p w:rsidR="00344317" w:rsidRPr="00E00A99" w:rsidRDefault="00344317" w:rsidP="002F0517">
            <w:pPr>
              <w:widowControl w:val="0"/>
              <w:autoSpaceDE w:val="0"/>
              <w:autoSpaceDN w:val="0"/>
              <w:adjustRightInd w:val="0"/>
              <w:jc w:val="center"/>
              <w:rPr>
                <w:sz w:val="18"/>
                <w:szCs w:val="18"/>
                <w:lang w:val="en-US"/>
              </w:rPr>
            </w:pPr>
          </w:p>
        </w:tc>
        <w:tc>
          <w:tcPr>
            <w:tcW w:w="1985" w:type="dxa"/>
            <w:tcBorders>
              <w:top w:val="nil"/>
              <w:left w:val="nil"/>
              <w:right w:val="nil"/>
            </w:tcBorders>
          </w:tcPr>
          <w:p w:rsidR="00344317" w:rsidRPr="00E00A99" w:rsidRDefault="00344317" w:rsidP="002F0517">
            <w:pPr>
              <w:widowControl w:val="0"/>
              <w:autoSpaceDE w:val="0"/>
              <w:autoSpaceDN w:val="0"/>
              <w:adjustRightInd w:val="0"/>
              <w:jc w:val="center"/>
              <w:rPr>
                <w:sz w:val="18"/>
                <w:szCs w:val="18"/>
                <w:lang w:val="en-US"/>
              </w:rPr>
            </w:pPr>
          </w:p>
        </w:tc>
      </w:tr>
      <w:tr w:rsidR="009636E5" w:rsidRPr="00E00A99" w:rsidTr="008F595A">
        <w:tc>
          <w:tcPr>
            <w:tcW w:w="1193" w:type="dxa"/>
            <w:tcBorders>
              <w:top w:val="nil"/>
              <w:left w:val="nil"/>
              <w:bottom w:val="single" w:sz="4" w:space="0" w:color="auto"/>
              <w:right w:val="nil"/>
            </w:tcBorders>
          </w:tcPr>
          <w:p w:rsidR="009636E5" w:rsidRPr="00E00A99" w:rsidRDefault="009636E5" w:rsidP="002F0517">
            <w:pPr>
              <w:widowControl w:val="0"/>
              <w:autoSpaceDE w:val="0"/>
              <w:autoSpaceDN w:val="0"/>
              <w:adjustRightInd w:val="0"/>
              <w:rPr>
                <w:sz w:val="18"/>
                <w:szCs w:val="18"/>
                <w:lang w:val="en-US"/>
              </w:rPr>
            </w:pPr>
          </w:p>
        </w:tc>
        <w:tc>
          <w:tcPr>
            <w:tcW w:w="1193" w:type="dxa"/>
            <w:gridSpan w:val="2"/>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lang w:val="en-US"/>
              </w:rPr>
            </w:pPr>
          </w:p>
        </w:tc>
        <w:tc>
          <w:tcPr>
            <w:tcW w:w="841" w:type="dxa"/>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lang w:val="en-US"/>
              </w:rPr>
            </w:pPr>
          </w:p>
        </w:tc>
        <w:tc>
          <w:tcPr>
            <w:tcW w:w="1276" w:type="dxa"/>
            <w:gridSpan w:val="2"/>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lang w:val="en-US"/>
              </w:rPr>
            </w:pPr>
          </w:p>
        </w:tc>
        <w:tc>
          <w:tcPr>
            <w:tcW w:w="850" w:type="dxa"/>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highlight w:val="yellow"/>
                <w:lang w:val="en-US"/>
              </w:rPr>
            </w:pPr>
          </w:p>
        </w:tc>
        <w:tc>
          <w:tcPr>
            <w:tcW w:w="1134" w:type="dxa"/>
            <w:gridSpan w:val="2"/>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lang w:val="en-US"/>
              </w:rPr>
            </w:pPr>
          </w:p>
        </w:tc>
        <w:tc>
          <w:tcPr>
            <w:tcW w:w="1418" w:type="dxa"/>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lang w:val="en-US"/>
              </w:rPr>
            </w:pPr>
          </w:p>
        </w:tc>
        <w:tc>
          <w:tcPr>
            <w:tcW w:w="850" w:type="dxa"/>
            <w:gridSpan w:val="2"/>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lang w:val="en-US"/>
              </w:rPr>
            </w:pPr>
          </w:p>
        </w:tc>
        <w:tc>
          <w:tcPr>
            <w:tcW w:w="1985" w:type="dxa"/>
            <w:tcBorders>
              <w:top w:val="nil"/>
              <w:left w:val="nil"/>
              <w:bottom w:val="single" w:sz="4" w:space="0" w:color="auto"/>
              <w:right w:val="nil"/>
            </w:tcBorders>
          </w:tcPr>
          <w:p w:rsidR="009636E5" w:rsidRPr="00E00A99" w:rsidRDefault="009636E5" w:rsidP="002F0517">
            <w:pPr>
              <w:widowControl w:val="0"/>
              <w:autoSpaceDE w:val="0"/>
              <w:autoSpaceDN w:val="0"/>
              <w:adjustRightInd w:val="0"/>
              <w:jc w:val="center"/>
              <w:rPr>
                <w:sz w:val="18"/>
                <w:szCs w:val="18"/>
                <w:lang w:val="en-US"/>
              </w:rPr>
            </w:pPr>
          </w:p>
        </w:tc>
      </w:tr>
      <w:tr w:rsidR="002F66B5" w:rsidRPr="00E00A99" w:rsidTr="008F595A">
        <w:tc>
          <w:tcPr>
            <w:tcW w:w="1193" w:type="dxa"/>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rPr>
                <w:sz w:val="18"/>
                <w:szCs w:val="18"/>
                <w:lang w:val="en-US"/>
              </w:rPr>
            </w:pPr>
            <w:r w:rsidRPr="00E00A99">
              <w:rPr>
                <w:sz w:val="18"/>
                <w:szCs w:val="18"/>
                <w:lang w:val="en-US"/>
              </w:rPr>
              <w:t>Observations</w:t>
            </w:r>
          </w:p>
        </w:tc>
        <w:tc>
          <w:tcPr>
            <w:tcW w:w="1193" w:type="dxa"/>
            <w:gridSpan w:val="2"/>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4379</w:t>
            </w:r>
          </w:p>
        </w:tc>
        <w:tc>
          <w:tcPr>
            <w:tcW w:w="841" w:type="dxa"/>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4379</w:t>
            </w:r>
          </w:p>
        </w:tc>
        <w:tc>
          <w:tcPr>
            <w:tcW w:w="1276" w:type="dxa"/>
            <w:gridSpan w:val="2"/>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2360</w:t>
            </w:r>
          </w:p>
        </w:tc>
        <w:tc>
          <w:tcPr>
            <w:tcW w:w="850" w:type="dxa"/>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2454</w:t>
            </w:r>
          </w:p>
        </w:tc>
        <w:tc>
          <w:tcPr>
            <w:tcW w:w="1134" w:type="dxa"/>
            <w:gridSpan w:val="2"/>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2919</w:t>
            </w:r>
          </w:p>
        </w:tc>
        <w:tc>
          <w:tcPr>
            <w:tcW w:w="1418" w:type="dxa"/>
            <w:tcBorders>
              <w:top w:val="single" w:sz="4" w:space="0" w:color="auto"/>
              <w:left w:val="nil"/>
              <w:bottom w:val="single" w:sz="4" w:space="0" w:color="auto"/>
              <w:right w:val="nil"/>
            </w:tcBorders>
            <w:shd w:val="clear" w:color="auto" w:fill="auto"/>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2919</w:t>
            </w:r>
          </w:p>
        </w:tc>
        <w:tc>
          <w:tcPr>
            <w:tcW w:w="850" w:type="dxa"/>
            <w:gridSpan w:val="2"/>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6786</w:t>
            </w:r>
          </w:p>
        </w:tc>
        <w:tc>
          <w:tcPr>
            <w:tcW w:w="1985" w:type="dxa"/>
            <w:tcBorders>
              <w:top w:val="single" w:sz="4" w:space="0" w:color="auto"/>
              <w:left w:val="nil"/>
              <w:bottom w:val="single" w:sz="4" w:space="0" w:color="auto"/>
              <w:right w:val="nil"/>
            </w:tcBorders>
          </w:tcPr>
          <w:p w:rsidR="00344317" w:rsidRPr="00E00A99" w:rsidRDefault="00344317" w:rsidP="002F0517">
            <w:pPr>
              <w:widowControl w:val="0"/>
              <w:autoSpaceDE w:val="0"/>
              <w:autoSpaceDN w:val="0"/>
              <w:adjustRightInd w:val="0"/>
              <w:jc w:val="center"/>
              <w:rPr>
                <w:sz w:val="18"/>
                <w:szCs w:val="18"/>
                <w:lang w:val="en-US"/>
              </w:rPr>
            </w:pPr>
            <w:r w:rsidRPr="00E00A99">
              <w:rPr>
                <w:sz w:val="18"/>
                <w:szCs w:val="18"/>
                <w:lang w:val="en-US"/>
              </w:rPr>
              <w:t>6786</w:t>
            </w:r>
          </w:p>
        </w:tc>
      </w:tr>
    </w:tbl>
    <w:p w:rsidR="008F595A" w:rsidRDefault="008F595A" w:rsidP="00344317">
      <w:pPr>
        <w:rPr>
          <w:lang w:val="en-US"/>
        </w:rPr>
      </w:pPr>
    </w:p>
    <w:p w:rsidR="008F595A" w:rsidRDefault="008F595A">
      <w:pPr>
        <w:spacing w:after="200" w:line="276" w:lineRule="auto"/>
        <w:rPr>
          <w:lang w:val="en-US"/>
        </w:rPr>
      </w:pPr>
      <w:r>
        <w:rPr>
          <w:lang w:val="en-US"/>
        </w:rPr>
        <w:br w:type="page"/>
      </w:r>
    </w:p>
    <w:p w:rsidR="00344317" w:rsidRDefault="00344317" w:rsidP="00344317">
      <w:pPr>
        <w:autoSpaceDE w:val="0"/>
        <w:autoSpaceDN w:val="0"/>
        <w:adjustRightInd w:val="0"/>
        <w:rPr>
          <w:lang w:val="en-US"/>
        </w:rPr>
      </w:pPr>
      <w:r w:rsidRPr="000A4DEC">
        <w:rPr>
          <w:lang w:val="en-US"/>
        </w:rPr>
        <w:lastRenderedPageBreak/>
        <w:t>In Table</w:t>
      </w:r>
      <w:r>
        <w:rPr>
          <w:lang w:val="en-US"/>
        </w:rPr>
        <w:t>s</w:t>
      </w:r>
      <w:r w:rsidRPr="000A4DEC">
        <w:rPr>
          <w:lang w:val="en-US"/>
        </w:rPr>
        <w:t xml:space="preserve"> A</w:t>
      </w:r>
      <w:r w:rsidR="00B01FC7">
        <w:rPr>
          <w:lang w:val="en-US"/>
        </w:rPr>
        <w:t>5</w:t>
      </w:r>
      <w:r w:rsidRPr="000A4DEC">
        <w:rPr>
          <w:lang w:val="en-US"/>
        </w:rPr>
        <w:t xml:space="preserve"> </w:t>
      </w:r>
      <w:r w:rsidR="00B01FC7">
        <w:rPr>
          <w:lang w:val="en-US"/>
        </w:rPr>
        <w:t>and A6</w:t>
      </w:r>
      <w:r>
        <w:rPr>
          <w:lang w:val="en-US"/>
        </w:rPr>
        <w:t xml:space="preserve"> </w:t>
      </w:r>
      <w:r w:rsidRPr="000A4DEC">
        <w:rPr>
          <w:lang w:val="en-US"/>
        </w:rPr>
        <w:t xml:space="preserve">we calculate the same models as in the main text </w:t>
      </w:r>
      <w:r>
        <w:rPr>
          <w:lang w:val="en-US"/>
        </w:rPr>
        <w:t>(Tables 4 and 5) but with all the ideological variables in their squared form to test whether ideology is related to the outcome variable in a more complex non-linear way.</w:t>
      </w:r>
    </w:p>
    <w:p w:rsidR="00344317" w:rsidRDefault="00344317" w:rsidP="00344317">
      <w:pPr>
        <w:autoSpaceDE w:val="0"/>
        <w:autoSpaceDN w:val="0"/>
        <w:adjustRightInd w:val="0"/>
        <w:rPr>
          <w:lang w:val="en-US"/>
        </w:rPr>
      </w:pPr>
    </w:p>
    <w:p w:rsidR="00344317" w:rsidRPr="00B266D5" w:rsidRDefault="00B01FC7" w:rsidP="00344317">
      <w:pPr>
        <w:rPr>
          <w:sz w:val="20"/>
          <w:szCs w:val="20"/>
          <w:lang w:val="en-GB"/>
        </w:rPr>
      </w:pPr>
      <w:proofErr w:type="gramStart"/>
      <w:r>
        <w:rPr>
          <w:lang w:val="en-US"/>
        </w:rPr>
        <w:t>Table A5</w:t>
      </w:r>
      <w:r w:rsidR="00344317">
        <w:rPr>
          <w:lang w:val="en-US"/>
        </w:rPr>
        <w:t xml:space="preserve"> Voting against the majority in the Council.</w:t>
      </w:r>
      <w:proofErr w:type="gramEnd"/>
      <w:r w:rsidR="00344317">
        <w:rPr>
          <w:lang w:val="en-US"/>
        </w:rPr>
        <w:t xml:space="preserve"> All legislative proposals 2004-09,</w:t>
      </w:r>
      <w:r w:rsidR="00344317">
        <w:rPr>
          <w:lang w:val="en-GB"/>
        </w:rPr>
        <w:t xml:space="preserve"> multilevel logistic regression, ideological variables squared</w:t>
      </w:r>
    </w:p>
    <w:tbl>
      <w:tblPr>
        <w:tblpPr w:leftFromText="141" w:rightFromText="141" w:vertAnchor="text" w:horzAnchor="margin" w:tblpY="466"/>
        <w:tblW w:w="9747" w:type="dxa"/>
        <w:tblLayout w:type="fixed"/>
        <w:tblLook w:val="0000" w:firstRow="0" w:lastRow="0" w:firstColumn="0" w:lastColumn="0" w:noHBand="0" w:noVBand="0"/>
      </w:tblPr>
      <w:tblGrid>
        <w:gridCol w:w="2376"/>
        <w:gridCol w:w="921"/>
        <w:gridCol w:w="921"/>
        <w:gridCol w:w="922"/>
        <w:gridCol w:w="921"/>
        <w:gridCol w:w="921"/>
        <w:gridCol w:w="922"/>
        <w:gridCol w:w="921"/>
        <w:gridCol w:w="922"/>
      </w:tblGrid>
      <w:tr w:rsidR="002F66B5" w:rsidRPr="00592A94" w:rsidTr="002F66B5">
        <w:tc>
          <w:tcPr>
            <w:tcW w:w="2376"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Sector Model</w:t>
            </w: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Structural Model</w:t>
            </w: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Redistribution Model</w:t>
            </w:r>
          </w:p>
        </w:tc>
        <w:tc>
          <w:tcPr>
            <w:tcW w:w="922"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Institutional-Ideological Model</w:t>
            </w:r>
          </w:p>
        </w:tc>
        <w:tc>
          <w:tcPr>
            <w:tcW w:w="922"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 employment in agriculture</w:t>
            </w:r>
          </w:p>
        </w:tc>
        <w:tc>
          <w:tcPr>
            <w:tcW w:w="921"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921" w:type="dxa"/>
            <w:tcBorders>
              <w:top w:val="single" w:sz="4" w:space="0" w:color="auto"/>
              <w:left w:val="nil"/>
              <w:bottom w:val="nil"/>
              <w:right w:val="nil"/>
            </w:tcBorders>
          </w:tcPr>
          <w:p w:rsidR="00344317" w:rsidRPr="00CC50C9" w:rsidRDefault="00344317" w:rsidP="008F0B12">
            <w:pPr>
              <w:widowControl w:val="0"/>
              <w:autoSpaceDE w:val="0"/>
              <w:autoSpaceDN w:val="0"/>
              <w:adjustRightInd w:val="0"/>
              <w:jc w:val="center"/>
              <w:rPr>
                <w:sz w:val="18"/>
                <w:szCs w:val="18"/>
                <w:lang w:val="en-US"/>
              </w:rPr>
            </w:pPr>
            <w:r w:rsidRPr="00CC50C9">
              <w:rPr>
                <w:sz w:val="18"/>
                <w:szCs w:val="18"/>
                <w:lang w:val="en-US"/>
              </w:rPr>
              <w:t>0.0</w:t>
            </w:r>
            <w:r w:rsidR="008F0B12">
              <w:rPr>
                <w:sz w:val="18"/>
                <w:szCs w:val="18"/>
                <w:lang w:val="en-US"/>
              </w:rPr>
              <w:t>2</w:t>
            </w:r>
          </w:p>
        </w:tc>
        <w:tc>
          <w:tcPr>
            <w:tcW w:w="922"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single" w:sz="4" w:space="0" w:color="auto"/>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921" w:type="dxa"/>
            <w:tcBorders>
              <w:top w:val="nil"/>
              <w:left w:val="nil"/>
              <w:bottom w:val="nil"/>
              <w:right w:val="nil"/>
            </w:tcBorders>
          </w:tcPr>
          <w:p w:rsidR="00344317" w:rsidRPr="00CC50C9" w:rsidRDefault="008F0B12" w:rsidP="002F0517">
            <w:pPr>
              <w:widowControl w:val="0"/>
              <w:autoSpaceDE w:val="0"/>
              <w:autoSpaceDN w:val="0"/>
              <w:adjustRightInd w:val="0"/>
              <w:jc w:val="center"/>
              <w:rPr>
                <w:sz w:val="18"/>
                <w:szCs w:val="18"/>
                <w:lang w:val="en-US"/>
              </w:rPr>
            </w:pPr>
            <w:r>
              <w:rPr>
                <w:sz w:val="18"/>
                <w:szCs w:val="18"/>
                <w:lang w:val="en-US"/>
              </w:rPr>
              <w:t>(0.03</w:t>
            </w:r>
            <w:r w:rsidR="00344317" w:rsidRPr="00CC50C9">
              <w:rPr>
                <w:sz w:val="18"/>
                <w:szCs w:val="18"/>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 employment in services</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r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r w:rsidRPr="00CC50C9">
              <w:rPr>
                <w:sz w:val="18"/>
                <w:szCs w:val="18"/>
                <w:vertAlign w:val="superscript"/>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GDP per cap (log)</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8A7D1E">
            <w:pPr>
              <w:widowControl w:val="0"/>
              <w:autoSpaceDE w:val="0"/>
              <w:autoSpaceDN w:val="0"/>
              <w:adjustRightInd w:val="0"/>
              <w:jc w:val="center"/>
              <w:rPr>
                <w:sz w:val="18"/>
                <w:szCs w:val="18"/>
                <w:lang w:val="en-US"/>
              </w:rPr>
            </w:pPr>
            <w:r w:rsidRPr="00CC50C9">
              <w:rPr>
                <w:sz w:val="18"/>
                <w:szCs w:val="18"/>
                <w:lang w:val="en-US"/>
              </w:rPr>
              <w:t>0.4</w:t>
            </w:r>
            <w:r w:rsidR="008A7D1E">
              <w:rPr>
                <w:sz w:val="18"/>
                <w:szCs w:val="18"/>
                <w:lang w:val="en-US"/>
              </w:rPr>
              <w:t>2</w:t>
            </w:r>
            <w:r w:rsidRPr="00CC50C9">
              <w:rPr>
                <w:sz w:val="18"/>
                <w:szCs w:val="18"/>
                <w:lang w:val="en-US"/>
              </w:rPr>
              <w:t>**</w:t>
            </w:r>
          </w:p>
        </w:tc>
        <w:tc>
          <w:tcPr>
            <w:tcW w:w="921" w:type="dxa"/>
            <w:tcBorders>
              <w:top w:val="nil"/>
              <w:left w:val="nil"/>
              <w:bottom w:val="nil"/>
              <w:right w:val="nil"/>
            </w:tcBorders>
          </w:tcPr>
          <w:p w:rsidR="00344317" w:rsidRPr="00CC50C9" w:rsidRDefault="00344317" w:rsidP="00E82B33">
            <w:pPr>
              <w:widowControl w:val="0"/>
              <w:autoSpaceDE w:val="0"/>
              <w:autoSpaceDN w:val="0"/>
              <w:adjustRightInd w:val="0"/>
              <w:jc w:val="center"/>
              <w:rPr>
                <w:sz w:val="18"/>
                <w:szCs w:val="18"/>
                <w:lang w:val="en-US"/>
              </w:rPr>
            </w:pPr>
            <w:r w:rsidRPr="00CC50C9">
              <w:rPr>
                <w:sz w:val="18"/>
                <w:szCs w:val="18"/>
                <w:lang w:val="en-US"/>
              </w:rPr>
              <w:t>0.</w:t>
            </w:r>
            <w:r w:rsidR="00E82B33">
              <w:rPr>
                <w:sz w:val="18"/>
                <w:szCs w:val="18"/>
                <w:lang w:val="en-US"/>
              </w:rPr>
              <w:t>44</w:t>
            </w:r>
            <w:r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8A7D1E">
            <w:pPr>
              <w:widowControl w:val="0"/>
              <w:autoSpaceDE w:val="0"/>
              <w:autoSpaceDN w:val="0"/>
              <w:adjustRightInd w:val="0"/>
              <w:jc w:val="center"/>
              <w:rPr>
                <w:sz w:val="18"/>
                <w:szCs w:val="18"/>
                <w:lang w:val="en-US"/>
              </w:rPr>
            </w:pPr>
            <w:r w:rsidRPr="00CC50C9">
              <w:rPr>
                <w:sz w:val="18"/>
                <w:szCs w:val="18"/>
                <w:lang w:val="en-US"/>
              </w:rPr>
              <w:t>(0.2)</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(0.21)</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Rigidity of Employment Index</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8A7D1E">
            <w:pPr>
              <w:widowControl w:val="0"/>
              <w:autoSpaceDE w:val="0"/>
              <w:autoSpaceDN w:val="0"/>
              <w:adjustRightInd w:val="0"/>
              <w:jc w:val="center"/>
              <w:rPr>
                <w:sz w:val="18"/>
                <w:szCs w:val="18"/>
                <w:lang w:val="en-US"/>
              </w:rPr>
            </w:pPr>
            <w:r w:rsidRPr="00CC50C9">
              <w:rPr>
                <w:sz w:val="18"/>
                <w:szCs w:val="18"/>
                <w:lang w:val="en-US"/>
              </w:rPr>
              <w:t>-0.0</w:t>
            </w:r>
            <w:r w:rsidR="008A7D1E">
              <w:rPr>
                <w:sz w:val="18"/>
                <w:szCs w:val="18"/>
                <w:lang w:val="en-US"/>
              </w:rPr>
              <w:t>2</w:t>
            </w:r>
            <w:r w:rsidRPr="00CC50C9">
              <w:rPr>
                <w:sz w:val="18"/>
                <w:szCs w:val="18"/>
                <w:vertAlign w:val="superscript"/>
                <w:lang w:val="en-US"/>
              </w:rPr>
              <w:t>***</w:t>
            </w:r>
          </w:p>
        </w:tc>
        <w:tc>
          <w:tcPr>
            <w:tcW w:w="921" w:type="dxa"/>
            <w:tcBorders>
              <w:top w:val="nil"/>
              <w:left w:val="nil"/>
              <w:bottom w:val="nil"/>
              <w:right w:val="nil"/>
            </w:tcBorders>
          </w:tcPr>
          <w:p w:rsidR="00344317" w:rsidRPr="00CC50C9" w:rsidRDefault="00E82B33" w:rsidP="00E82B33">
            <w:pPr>
              <w:widowControl w:val="0"/>
              <w:autoSpaceDE w:val="0"/>
              <w:autoSpaceDN w:val="0"/>
              <w:adjustRightInd w:val="0"/>
              <w:jc w:val="center"/>
              <w:rPr>
                <w:sz w:val="18"/>
                <w:szCs w:val="18"/>
                <w:lang w:val="en-US"/>
              </w:rPr>
            </w:pPr>
            <w:r>
              <w:rPr>
                <w:sz w:val="18"/>
                <w:szCs w:val="18"/>
                <w:lang w:val="en-US"/>
              </w:rPr>
              <w:t>-0.01</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8A7D1E">
            <w:pPr>
              <w:widowControl w:val="0"/>
              <w:autoSpaceDE w:val="0"/>
              <w:autoSpaceDN w:val="0"/>
              <w:adjustRightInd w:val="0"/>
              <w:jc w:val="center"/>
              <w:rPr>
                <w:sz w:val="18"/>
                <w:szCs w:val="18"/>
                <w:lang w:val="en-US"/>
              </w:rPr>
            </w:pPr>
            <w:r w:rsidRPr="00CC50C9">
              <w:rPr>
                <w:sz w:val="18"/>
                <w:szCs w:val="18"/>
                <w:lang w:val="en-US"/>
              </w:rPr>
              <w:t>(0.0</w:t>
            </w:r>
            <w:r w:rsidR="008A7D1E">
              <w:rPr>
                <w:sz w:val="18"/>
                <w:szCs w:val="18"/>
                <w:lang w:val="en-US"/>
              </w:rPr>
              <w:t>1</w:t>
            </w:r>
            <w:r w:rsidRPr="00CC50C9">
              <w:rPr>
                <w:sz w:val="18"/>
                <w:szCs w:val="18"/>
                <w:lang w:val="en-US"/>
              </w:rPr>
              <w:t>)</w:t>
            </w:r>
          </w:p>
        </w:tc>
        <w:tc>
          <w:tcPr>
            <w:tcW w:w="921" w:type="dxa"/>
            <w:tcBorders>
              <w:top w:val="nil"/>
              <w:left w:val="nil"/>
              <w:bottom w:val="nil"/>
              <w:right w:val="nil"/>
            </w:tcBorders>
          </w:tcPr>
          <w:p w:rsidR="00344317" w:rsidRPr="00CC50C9" w:rsidRDefault="00E82B33" w:rsidP="002F0517">
            <w:pPr>
              <w:widowControl w:val="0"/>
              <w:autoSpaceDE w:val="0"/>
              <w:autoSpaceDN w:val="0"/>
              <w:adjustRightInd w:val="0"/>
              <w:jc w:val="center"/>
              <w:rPr>
                <w:sz w:val="18"/>
                <w:szCs w:val="18"/>
                <w:lang w:val="en-US"/>
              </w:rPr>
            </w:pPr>
            <w:r>
              <w:rPr>
                <w:sz w:val="18"/>
                <w:szCs w:val="18"/>
                <w:lang w:val="en-US"/>
              </w:rPr>
              <w:t>(0.01</w:t>
            </w:r>
            <w:r w:rsidR="00344317"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 xml:space="preserve">Unemployment Rate </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8A7D1E">
            <w:pPr>
              <w:widowControl w:val="0"/>
              <w:autoSpaceDE w:val="0"/>
              <w:autoSpaceDN w:val="0"/>
              <w:adjustRightInd w:val="0"/>
              <w:jc w:val="center"/>
              <w:rPr>
                <w:sz w:val="18"/>
                <w:szCs w:val="18"/>
                <w:lang w:val="en-US"/>
              </w:rPr>
            </w:pPr>
            <w:r w:rsidRPr="00CC50C9">
              <w:rPr>
                <w:sz w:val="18"/>
                <w:szCs w:val="18"/>
                <w:lang w:val="en-US"/>
              </w:rPr>
              <w:t>0.05**</w:t>
            </w:r>
          </w:p>
        </w:tc>
        <w:tc>
          <w:tcPr>
            <w:tcW w:w="921" w:type="dxa"/>
            <w:tcBorders>
              <w:top w:val="nil"/>
              <w:left w:val="nil"/>
              <w:bottom w:val="nil"/>
              <w:right w:val="nil"/>
            </w:tcBorders>
          </w:tcPr>
          <w:p w:rsidR="00344317" w:rsidRPr="00CC50C9" w:rsidRDefault="00E82B33" w:rsidP="00E82B33">
            <w:pPr>
              <w:widowControl w:val="0"/>
              <w:autoSpaceDE w:val="0"/>
              <w:autoSpaceDN w:val="0"/>
              <w:adjustRightInd w:val="0"/>
              <w:jc w:val="center"/>
              <w:rPr>
                <w:sz w:val="18"/>
                <w:szCs w:val="18"/>
                <w:lang w:val="en-US"/>
              </w:rPr>
            </w:pPr>
            <w:r>
              <w:rPr>
                <w:sz w:val="18"/>
                <w:szCs w:val="18"/>
                <w:lang w:val="en-US"/>
              </w:rPr>
              <w:t>0.05*</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8A7D1E" w:rsidP="002F0517">
            <w:pPr>
              <w:widowControl w:val="0"/>
              <w:autoSpaceDE w:val="0"/>
              <w:autoSpaceDN w:val="0"/>
              <w:adjustRightInd w:val="0"/>
              <w:jc w:val="center"/>
              <w:rPr>
                <w:sz w:val="18"/>
                <w:szCs w:val="18"/>
                <w:lang w:val="en-US"/>
              </w:rPr>
            </w:pPr>
            <w:r>
              <w:rPr>
                <w:sz w:val="18"/>
                <w:szCs w:val="18"/>
                <w:lang w:val="en-US"/>
              </w:rPr>
              <w:t>(0.03</w:t>
            </w:r>
            <w:r w:rsidR="00344317" w:rsidRPr="00CC50C9">
              <w:rPr>
                <w:sz w:val="18"/>
                <w:szCs w:val="18"/>
                <w:lang w:val="en-US"/>
              </w:rPr>
              <w:t>)</w:t>
            </w:r>
          </w:p>
        </w:tc>
        <w:tc>
          <w:tcPr>
            <w:tcW w:w="921" w:type="dxa"/>
            <w:tcBorders>
              <w:top w:val="nil"/>
              <w:left w:val="nil"/>
              <w:bottom w:val="nil"/>
              <w:right w:val="nil"/>
            </w:tcBorders>
          </w:tcPr>
          <w:p w:rsidR="00344317" w:rsidRPr="00CC50C9" w:rsidRDefault="00344317" w:rsidP="00E82B33">
            <w:pPr>
              <w:widowControl w:val="0"/>
              <w:autoSpaceDE w:val="0"/>
              <w:autoSpaceDN w:val="0"/>
              <w:adjustRightInd w:val="0"/>
              <w:jc w:val="center"/>
              <w:rPr>
                <w:sz w:val="18"/>
                <w:szCs w:val="18"/>
                <w:lang w:val="en-US"/>
              </w:rPr>
            </w:pPr>
            <w:r w:rsidRPr="00CC50C9">
              <w:rPr>
                <w:sz w:val="18"/>
                <w:szCs w:val="18"/>
                <w:lang w:val="en-US"/>
              </w:rPr>
              <w:t>(0.0</w:t>
            </w:r>
            <w:r w:rsidR="00E82B33">
              <w:rPr>
                <w:sz w:val="18"/>
                <w:szCs w:val="18"/>
                <w:lang w:val="en-US"/>
              </w:rPr>
              <w:t>3</w:t>
            </w:r>
            <w:r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Ratio EU Spend./Contrib. (log)</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F42549">
            <w:pPr>
              <w:widowControl w:val="0"/>
              <w:autoSpaceDE w:val="0"/>
              <w:autoSpaceDN w:val="0"/>
              <w:adjustRightInd w:val="0"/>
              <w:jc w:val="center"/>
              <w:rPr>
                <w:sz w:val="18"/>
                <w:szCs w:val="18"/>
                <w:lang w:val="en-US"/>
              </w:rPr>
            </w:pPr>
            <w:r w:rsidRPr="00CC50C9">
              <w:rPr>
                <w:sz w:val="18"/>
                <w:szCs w:val="18"/>
                <w:lang w:val="en-US"/>
              </w:rPr>
              <w:t>-0.</w:t>
            </w:r>
            <w:r w:rsidR="00F42549">
              <w:rPr>
                <w:sz w:val="18"/>
                <w:szCs w:val="18"/>
                <w:lang w:val="en-US"/>
              </w:rPr>
              <w:t>29</w:t>
            </w:r>
            <w:r w:rsidRPr="00CC50C9">
              <w:rPr>
                <w:sz w:val="18"/>
                <w:szCs w:val="18"/>
                <w:vertAlign w:val="superscript"/>
                <w:lang w:val="en-US"/>
              </w:rPr>
              <w:t>***</w:t>
            </w:r>
          </w:p>
        </w:tc>
        <w:tc>
          <w:tcPr>
            <w:tcW w:w="922" w:type="dxa"/>
            <w:tcBorders>
              <w:top w:val="nil"/>
              <w:left w:val="nil"/>
              <w:bottom w:val="nil"/>
              <w:right w:val="nil"/>
            </w:tcBorders>
          </w:tcPr>
          <w:p w:rsidR="00344317" w:rsidRPr="00CC50C9" w:rsidRDefault="007D2956" w:rsidP="002F0517">
            <w:pPr>
              <w:widowControl w:val="0"/>
              <w:autoSpaceDE w:val="0"/>
              <w:autoSpaceDN w:val="0"/>
              <w:adjustRightInd w:val="0"/>
              <w:jc w:val="center"/>
              <w:rPr>
                <w:sz w:val="18"/>
                <w:szCs w:val="18"/>
                <w:lang w:val="en-US"/>
              </w:rPr>
            </w:pPr>
            <w:r>
              <w:rPr>
                <w:sz w:val="18"/>
                <w:szCs w:val="18"/>
                <w:lang w:val="en-US"/>
              </w:rPr>
              <w:t>-0.31</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(0.09)</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(0.09)</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Veto-player Index</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-0.06</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(0.08)</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(0.08)</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Left-Right Position of Government</w:t>
            </w:r>
            <w:r w:rsidRPr="00CC50C9">
              <w:rPr>
                <w:sz w:val="18"/>
                <w:szCs w:val="18"/>
                <w:vertAlign w:val="superscript"/>
                <w:lang w:val="en-US"/>
              </w:rPr>
              <w:t>2</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EU Integration Position of Government</w:t>
            </w:r>
            <w:r w:rsidRPr="00CC50C9">
              <w:rPr>
                <w:sz w:val="18"/>
                <w:szCs w:val="18"/>
                <w:vertAlign w:val="superscript"/>
                <w:lang w:val="en-US"/>
              </w:rPr>
              <w:t>2</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r>
      <w:tr w:rsidR="002F66B5" w:rsidRPr="00700056"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(0.01)</w:t>
            </w:r>
          </w:p>
        </w:tc>
      </w:tr>
      <w:tr w:rsidR="002F66B5" w:rsidRPr="00700056"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EU Integration Position of Population</w:t>
            </w:r>
            <w:r w:rsidRPr="00CC50C9">
              <w:rPr>
                <w:sz w:val="18"/>
                <w:szCs w:val="18"/>
                <w:vertAlign w:val="superscript"/>
                <w:lang w:val="en-US"/>
              </w:rPr>
              <w:t>2</w:t>
            </w:r>
          </w:p>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r>
      <w:tr w:rsidR="002F66B5" w:rsidRPr="00700056"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(0.00)</w:t>
            </w:r>
          </w:p>
        </w:tc>
      </w:tr>
      <w:tr w:rsidR="002F66B5" w:rsidRPr="00700056"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Left-Right Position of Population</w:t>
            </w:r>
            <w:r w:rsidRPr="00CC50C9">
              <w:rPr>
                <w:sz w:val="18"/>
                <w:szCs w:val="18"/>
                <w:vertAlign w:val="superscript"/>
                <w:lang w:val="en-US"/>
              </w:rPr>
              <w:t>2</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-0.03</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-0.04*</w:t>
            </w:r>
          </w:p>
        </w:tc>
      </w:tr>
      <w:tr w:rsidR="002F66B5" w:rsidRPr="00700056"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(0.21)</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QMV</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8F0B12">
            <w:pPr>
              <w:widowControl w:val="0"/>
              <w:autoSpaceDE w:val="0"/>
              <w:autoSpaceDN w:val="0"/>
              <w:adjustRightInd w:val="0"/>
              <w:jc w:val="center"/>
              <w:rPr>
                <w:sz w:val="18"/>
                <w:szCs w:val="18"/>
                <w:lang w:val="en-US"/>
              </w:rPr>
            </w:pPr>
            <w:r w:rsidRPr="00CC50C9">
              <w:rPr>
                <w:sz w:val="18"/>
                <w:szCs w:val="18"/>
                <w:lang w:val="en-US"/>
              </w:rPr>
              <w:t>1.1</w:t>
            </w:r>
            <w:r w:rsidR="008F0B12">
              <w:rPr>
                <w:sz w:val="18"/>
                <w:szCs w:val="18"/>
                <w:lang w:val="en-US"/>
              </w:rPr>
              <w:t>0</w:t>
            </w:r>
            <w:r w:rsidRPr="00CC50C9">
              <w:rPr>
                <w:sz w:val="18"/>
                <w:szCs w:val="18"/>
                <w:vertAlign w:val="superscript"/>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E82B33">
            <w:pPr>
              <w:widowControl w:val="0"/>
              <w:autoSpaceDE w:val="0"/>
              <w:autoSpaceDN w:val="0"/>
              <w:adjustRightInd w:val="0"/>
              <w:jc w:val="center"/>
              <w:rPr>
                <w:sz w:val="18"/>
                <w:szCs w:val="18"/>
                <w:lang w:val="en-US"/>
              </w:rPr>
            </w:pPr>
            <w:r w:rsidRPr="00CC50C9">
              <w:rPr>
                <w:sz w:val="18"/>
                <w:szCs w:val="18"/>
                <w:lang w:val="en-US"/>
              </w:rPr>
              <w:t>1.</w:t>
            </w:r>
            <w:r w:rsidR="00E82B33">
              <w:rPr>
                <w:sz w:val="18"/>
                <w:szCs w:val="18"/>
                <w:lang w:val="en-US"/>
              </w:rPr>
              <w:t>16</w:t>
            </w:r>
            <w:r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7D2956">
            <w:pPr>
              <w:widowControl w:val="0"/>
              <w:autoSpaceDE w:val="0"/>
              <w:autoSpaceDN w:val="0"/>
              <w:adjustRightInd w:val="0"/>
              <w:jc w:val="center"/>
              <w:rPr>
                <w:sz w:val="18"/>
                <w:szCs w:val="18"/>
                <w:lang w:val="en-US"/>
              </w:rPr>
            </w:pPr>
            <w:r w:rsidRPr="00CC50C9">
              <w:rPr>
                <w:sz w:val="18"/>
                <w:szCs w:val="18"/>
                <w:lang w:val="en-US"/>
              </w:rPr>
              <w:t>1.</w:t>
            </w:r>
            <w:r w:rsidR="007D2956">
              <w:rPr>
                <w:sz w:val="18"/>
                <w:szCs w:val="18"/>
                <w:lang w:val="en-US"/>
              </w:rPr>
              <w:t>09</w:t>
            </w:r>
            <w:r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1.09</w:t>
            </w:r>
            <w:r w:rsidRPr="00CC50C9">
              <w:rPr>
                <w:sz w:val="18"/>
                <w:szCs w:val="18"/>
                <w:vertAlign w:val="superscript"/>
                <w:lang w:val="en-US"/>
              </w:rPr>
              <w:t>***</w:t>
            </w:r>
          </w:p>
        </w:tc>
      </w:tr>
      <w:tr w:rsidR="002F66B5" w:rsidRPr="00592A94" w:rsidTr="002F66B5">
        <w:trPr>
          <w:trHeight w:val="80"/>
        </w:trPr>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8F0B12">
            <w:pPr>
              <w:widowControl w:val="0"/>
              <w:autoSpaceDE w:val="0"/>
              <w:autoSpaceDN w:val="0"/>
              <w:adjustRightInd w:val="0"/>
              <w:jc w:val="center"/>
              <w:rPr>
                <w:sz w:val="18"/>
                <w:szCs w:val="18"/>
                <w:lang w:val="en-US"/>
              </w:rPr>
            </w:pPr>
            <w:r w:rsidRPr="00CC50C9">
              <w:rPr>
                <w:sz w:val="18"/>
                <w:szCs w:val="18"/>
                <w:lang w:val="en-US"/>
              </w:rPr>
              <w:t>(0.3</w:t>
            </w:r>
            <w:r w:rsidR="008F0B12">
              <w:rPr>
                <w:sz w:val="18"/>
                <w:szCs w:val="18"/>
                <w:lang w:val="en-US"/>
              </w:rPr>
              <w:t>5</w:t>
            </w:r>
            <w:r w:rsidRPr="00CC50C9">
              <w:rPr>
                <w:sz w:val="18"/>
                <w:szCs w:val="18"/>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E82B33" w:rsidP="002F0517">
            <w:pPr>
              <w:widowControl w:val="0"/>
              <w:autoSpaceDE w:val="0"/>
              <w:autoSpaceDN w:val="0"/>
              <w:adjustRightInd w:val="0"/>
              <w:jc w:val="center"/>
              <w:rPr>
                <w:sz w:val="18"/>
                <w:szCs w:val="18"/>
                <w:lang w:val="en-US"/>
              </w:rPr>
            </w:pPr>
            <w:r>
              <w:rPr>
                <w:sz w:val="18"/>
                <w:szCs w:val="18"/>
                <w:lang w:val="en-US"/>
              </w:rPr>
              <w:t>(0.36</w:t>
            </w:r>
            <w:r w:rsidR="00344317"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7D2956">
            <w:pPr>
              <w:widowControl w:val="0"/>
              <w:autoSpaceDE w:val="0"/>
              <w:autoSpaceDN w:val="0"/>
              <w:adjustRightInd w:val="0"/>
              <w:jc w:val="center"/>
              <w:rPr>
                <w:sz w:val="18"/>
                <w:szCs w:val="18"/>
                <w:lang w:val="en-US"/>
              </w:rPr>
            </w:pPr>
            <w:r w:rsidRPr="00CC50C9">
              <w:rPr>
                <w:sz w:val="18"/>
                <w:szCs w:val="18"/>
                <w:lang w:val="en-US"/>
              </w:rPr>
              <w:t>(0.3</w:t>
            </w:r>
            <w:r w:rsidR="007D2956">
              <w:rPr>
                <w:sz w:val="18"/>
                <w:szCs w:val="18"/>
                <w:lang w:val="en-US"/>
              </w:rPr>
              <w:t>5</w:t>
            </w:r>
            <w:r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(0.34)</w:t>
            </w:r>
          </w:p>
        </w:tc>
      </w:tr>
      <w:tr w:rsidR="002F66B5" w:rsidRPr="00592A94" w:rsidTr="001A4E1A">
        <w:trPr>
          <w:trHeight w:val="114"/>
        </w:trPr>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President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8F0B12" w:rsidP="008F0B12">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00*</w:t>
            </w:r>
            <w:r w:rsidR="00344317" w:rsidRPr="00CC50C9">
              <w:rPr>
                <w:sz w:val="18"/>
                <w:szCs w:val="18"/>
                <w:vertAlign w:val="superscript"/>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E82B33" w:rsidP="002F0517">
            <w:pPr>
              <w:widowControl w:val="0"/>
              <w:autoSpaceDE w:val="0"/>
              <w:autoSpaceDN w:val="0"/>
              <w:adjustRightInd w:val="0"/>
              <w:jc w:val="center"/>
              <w:rPr>
                <w:sz w:val="18"/>
                <w:szCs w:val="18"/>
                <w:lang w:val="en-US"/>
              </w:rPr>
            </w:pPr>
            <w:r>
              <w:rPr>
                <w:sz w:val="18"/>
                <w:szCs w:val="18"/>
                <w:lang w:val="en-US"/>
              </w:rPr>
              <w:t>-0.99</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7D2956" w:rsidP="007D2956">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04*</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-1.05</w:t>
            </w:r>
            <w:r w:rsidRPr="00CC50C9">
              <w:rPr>
                <w:sz w:val="18"/>
                <w:szCs w:val="18"/>
                <w:vertAlign w:val="superscript"/>
                <w:lang w:val="en-US"/>
              </w:rPr>
              <w:t>**</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8F0B12" w:rsidP="002F0517">
            <w:pPr>
              <w:widowControl w:val="0"/>
              <w:autoSpaceDE w:val="0"/>
              <w:autoSpaceDN w:val="0"/>
              <w:adjustRightInd w:val="0"/>
              <w:jc w:val="center"/>
              <w:rPr>
                <w:sz w:val="18"/>
                <w:szCs w:val="18"/>
                <w:lang w:val="en-US"/>
              </w:rPr>
            </w:pPr>
            <w:r>
              <w:rPr>
                <w:sz w:val="18"/>
                <w:szCs w:val="18"/>
                <w:lang w:val="en-US"/>
              </w:rPr>
              <w:t>(0.47</w:t>
            </w:r>
            <w:r w:rsidR="00344317" w:rsidRPr="00CC50C9">
              <w:rPr>
                <w:sz w:val="18"/>
                <w:szCs w:val="18"/>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E82B33" w:rsidP="002F0517">
            <w:pPr>
              <w:widowControl w:val="0"/>
              <w:autoSpaceDE w:val="0"/>
              <w:autoSpaceDN w:val="0"/>
              <w:adjustRightInd w:val="0"/>
              <w:jc w:val="center"/>
              <w:rPr>
                <w:sz w:val="18"/>
                <w:szCs w:val="18"/>
                <w:lang w:val="en-US"/>
              </w:rPr>
            </w:pPr>
            <w:r>
              <w:rPr>
                <w:sz w:val="18"/>
                <w:szCs w:val="18"/>
                <w:lang w:val="en-US"/>
              </w:rPr>
              <w:t>(0.48</w:t>
            </w:r>
            <w:r w:rsidR="00344317"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7D2956" w:rsidP="002F0517">
            <w:pPr>
              <w:widowControl w:val="0"/>
              <w:autoSpaceDE w:val="0"/>
              <w:autoSpaceDN w:val="0"/>
              <w:adjustRightInd w:val="0"/>
              <w:jc w:val="center"/>
              <w:rPr>
                <w:sz w:val="18"/>
                <w:szCs w:val="18"/>
                <w:lang w:val="en-US"/>
              </w:rPr>
            </w:pPr>
            <w:r>
              <w:rPr>
                <w:sz w:val="18"/>
                <w:szCs w:val="18"/>
                <w:lang w:val="en-US"/>
              </w:rPr>
              <w:t>(0.47</w:t>
            </w:r>
            <w:r w:rsidR="00344317"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(0.48)</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Commissioner</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8F0B12" w:rsidP="002F0517">
            <w:pPr>
              <w:widowControl w:val="0"/>
              <w:autoSpaceDE w:val="0"/>
              <w:autoSpaceDN w:val="0"/>
              <w:adjustRightInd w:val="0"/>
              <w:jc w:val="center"/>
              <w:rPr>
                <w:sz w:val="18"/>
                <w:szCs w:val="18"/>
                <w:lang w:val="en-US"/>
              </w:rPr>
            </w:pPr>
            <w:r>
              <w:rPr>
                <w:sz w:val="18"/>
                <w:szCs w:val="18"/>
                <w:lang w:val="en-US"/>
              </w:rPr>
              <w:t>0.01</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E82B33" w:rsidP="002F0517">
            <w:pPr>
              <w:widowControl w:val="0"/>
              <w:autoSpaceDE w:val="0"/>
              <w:autoSpaceDN w:val="0"/>
              <w:adjustRightInd w:val="0"/>
              <w:jc w:val="center"/>
              <w:rPr>
                <w:sz w:val="18"/>
                <w:szCs w:val="18"/>
                <w:lang w:val="en-US"/>
              </w:rPr>
            </w:pPr>
            <w:r>
              <w:rPr>
                <w:sz w:val="18"/>
                <w:szCs w:val="18"/>
                <w:lang w:val="en-US"/>
              </w:rPr>
              <w:t>0.07</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7D2956" w:rsidP="002F0517">
            <w:pPr>
              <w:widowControl w:val="0"/>
              <w:autoSpaceDE w:val="0"/>
              <w:autoSpaceDN w:val="0"/>
              <w:adjustRightInd w:val="0"/>
              <w:jc w:val="center"/>
              <w:rPr>
                <w:sz w:val="18"/>
                <w:szCs w:val="18"/>
                <w:lang w:val="en-US"/>
              </w:rPr>
            </w:pPr>
            <w:r>
              <w:rPr>
                <w:sz w:val="18"/>
                <w:szCs w:val="18"/>
                <w:lang w:val="en-US"/>
              </w:rPr>
              <w:t>0.01</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0.02</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(0.31)</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344317" w:rsidRPr="00CC50C9" w:rsidRDefault="00E82B33" w:rsidP="002F0517">
            <w:pPr>
              <w:widowControl w:val="0"/>
              <w:autoSpaceDE w:val="0"/>
              <w:autoSpaceDN w:val="0"/>
              <w:adjustRightInd w:val="0"/>
              <w:jc w:val="center"/>
              <w:rPr>
                <w:sz w:val="18"/>
                <w:szCs w:val="18"/>
                <w:lang w:val="en-US"/>
              </w:rPr>
            </w:pPr>
            <w:r>
              <w:rPr>
                <w:sz w:val="18"/>
                <w:szCs w:val="18"/>
                <w:lang w:val="en-US"/>
              </w:rPr>
              <w:t>(0.32</w:t>
            </w:r>
            <w:r w:rsidR="00344317"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(0.31)</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(0.31)</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Other dissenting votes</w:t>
            </w:r>
          </w:p>
        </w:tc>
        <w:tc>
          <w:tcPr>
            <w:tcW w:w="921" w:type="dxa"/>
            <w:tcBorders>
              <w:top w:val="nil"/>
              <w:left w:val="nil"/>
              <w:bottom w:val="nil"/>
              <w:right w:val="nil"/>
            </w:tcBorders>
          </w:tcPr>
          <w:p w:rsidR="00344317" w:rsidRPr="00CC50C9" w:rsidRDefault="001A4E1A" w:rsidP="001A4E1A">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13</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8F0B12" w:rsidP="008F0B12">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0</w:t>
            </w:r>
            <w:r w:rsidR="00344317" w:rsidRPr="00CC50C9">
              <w:rPr>
                <w:sz w:val="18"/>
                <w:szCs w:val="18"/>
                <w:lang w:val="en-US"/>
              </w:rPr>
              <w:t>8</w:t>
            </w:r>
            <w:r w:rsidR="00344317" w:rsidRPr="00CC50C9">
              <w:rPr>
                <w:sz w:val="18"/>
                <w:szCs w:val="18"/>
                <w:vertAlign w:val="superscript"/>
                <w:lang w:val="en-US"/>
              </w:rPr>
              <w:t>***</w:t>
            </w:r>
          </w:p>
        </w:tc>
        <w:tc>
          <w:tcPr>
            <w:tcW w:w="922" w:type="dxa"/>
            <w:tcBorders>
              <w:top w:val="nil"/>
              <w:left w:val="nil"/>
              <w:bottom w:val="nil"/>
              <w:right w:val="nil"/>
            </w:tcBorders>
          </w:tcPr>
          <w:p w:rsidR="00344317" w:rsidRPr="00CC50C9" w:rsidRDefault="008A7D1E" w:rsidP="008A7D1E">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13</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E82B33" w:rsidP="00E82B33">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07</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F42549" w:rsidP="00F42549">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13</w:t>
            </w:r>
            <w:r w:rsidR="00344317" w:rsidRPr="00CC50C9">
              <w:rPr>
                <w:sz w:val="18"/>
                <w:szCs w:val="18"/>
                <w:vertAlign w:val="superscript"/>
                <w:lang w:val="en-US"/>
              </w:rPr>
              <w:t>***</w:t>
            </w:r>
          </w:p>
        </w:tc>
        <w:tc>
          <w:tcPr>
            <w:tcW w:w="922" w:type="dxa"/>
            <w:tcBorders>
              <w:top w:val="nil"/>
              <w:left w:val="nil"/>
              <w:bottom w:val="nil"/>
              <w:right w:val="nil"/>
            </w:tcBorders>
          </w:tcPr>
          <w:p w:rsidR="00344317" w:rsidRPr="00CC50C9" w:rsidRDefault="007D2956" w:rsidP="007D2956">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0</w:t>
            </w:r>
            <w:r w:rsidR="00344317" w:rsidRPr="00CC50C9">
              <w:rPr>
                <w:sz w:val="18"/>
                <w:szCs w:val="18"/>
                <w:lang w:val="en-US"/>
              </w:rPr>
              <w:t>8</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1.13</w:t>
            </w:r>
            <w:r w:rsidRPr="00CC50C9">
              <w:rPr>
                <w:sz w:val="18"/>
                <w:szCs w:val="18"/>
                <w:vertAlign w:val="superscript"/>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1.08***</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(0.07)</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Constant</w:t>
            </w:r>
          </w:p>
        </w:tc>
        <w:tc>
          <w:tcPr>
            <w:tcW w:w="921" w:type="dxa"/>
            <w:tcBorders>
              <w:top w:val="nil"/>
              <w:left w:val="nil"/>
              <w:bottom w:val="nil"/>
              <w:right w:val="nil"/>
            </w:tcBorders>
          </w:tcPr>
          <w:p w:rsidR="00344317" w:rsidRPr="00CC50C9" w:rsidRDefault="001A4E1A" w:rsidP="001A4E1A">
            <w:pPr>
              <w:widowControl w:val="0"/>
              <w:autoSpaceDE w:val="0"/>
              <w:autoSpaceDN w:val="0"/>
              <w:adjustRightInd w:val="0"/>
              <w:jc w:val="center"/>
              <w:rPr>
                <w:sz w:val="18"/>
                <w:szCs w:val="18"/>
                <w:lang w:val="en-US"/>
              </w:rPr>
            </w:pPr>
            <w:r>
              <w:rPr>
                <w:sz w:val="18"/>
                <w:szCs w:val="18"/>
                <w:lang w:val="en-US"/>
              </w:rPr>
              <w:t>-8</w:t>
            </w:r>
            <w:r w:rsidR="00344317" w:rsidRPr="00CC50C9">
              <w:rPr>
                <w:sz w:val="18"/>
                <w:szCs w:val="18"/>
                <w:lang w:val="en-US"/>
              </w:rPr>
              <w:t>.</w:t>
            </w:r>
            <w:r>
              <w:rPr>
                <w:sz w:val="18"/>
                <w:szCs w:val="18"/>
                <w:lang w:val="en-US"/>
              </w:rPr>
              <w:t>28</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8F0B12" w:rsidP="008F0B12">
            <w:pPr>
              <w:widowControl w:val="0"/>
              <w:autoSpaceDE w:val="0"/>
              <w:autoSpaceDN w:val="0"/>
              <w:adjustRightInd w:val="0"/>
              <w:jc w:val="center"/>
              <w:rPr>
                <w:sz w:val="18"/>
                <w:szCs w:val="18"/>
                <w:lang w:val="en-US"/>
              </w:rPr>
            </w:pPr>
            <w:r>
              <w:rPr>
                <w:sz w:val="18"/>
                <w:szCs w:val="18"/>
                <w:lang w:val="en-US"/>
              </w:rPr>
              <w:t>-9</w:t>
            </w:r>
            <w:r w:rsidR="00344317" w:rsidRPr="00CC50C9">
              <w:rPr>
                <w:sz w:val="18"/>
                <w:szCs w:val="18"/>
                <w:lang w:val="en-US"/>
              </w:rPr>
              <w:t>.</w:t>
            </w:r>
            <w:r>
              <w:rPr>
                <w:sz w:val="18"/>
                <w:szCs w:val="18"/>
                <w:lang w:val="en-US"/>
              </w:rPr>
              <w:t>15</w:t>
            </w:r>
            <w:r w:rsidR="00344317" w:rsidRPr="00CC50C9">
              <w:rPr>
                <w:sz w:val="18"/>
                <w:szCs w:val="18"/>
                <w:vertAlign w:val="superscript"/>
                <w:lang w:val="en-US"/>
              </w:rPr>
              <w:t>***</w:t>
            </w:r>
          </w:p>
        </w:tc>
        <w:tc>
          <w:tcPr>
            <w:tcW w:w="922" w:type="dxa"/>
            <w:tcBorders>
              <w:top w:val="nil"/>
              <w:left w:val="nil"/>
              <w:bottom w:val="nil"/>
              <w:right w:val="nil"/>
            </w:tcBorders>
          </w:tcPr>
          <w:p w:rsidR="00344317" w:rsidRPr="00CC50C9" w:rsidRDefault="008A7D1E" w:rsidP="002F0517">
            <w:pPr>
              <w:widowControl w:val="0"/>
              <w:autoSpaceDE w:val="0"/>
              <w:autoSpaceDN w:val="0"/>
              <w:adjustRightInd w:val="0"/>
              <w:jc w:val="center"/>
              <w:rPr>
                <w:sz w:val="18"/>
                <w:szCs w:val="18"/>
                <w:lang w:val="en-US"/>
              </w:rPr>
            </w:pPr>
            <w:r>
              <w:rPr>
                <w:sz w:val="18"/>
                <w:szCs w:val="18"/>
                <w:lang w:val="en-US"/>
              </w:rPr>
              <w:t>-9.59</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E82B33">
            <w:pPr>
              <w:widowControl w:val="0"/>
              <w:autoSpaceDE w:val="0"/>
              <w:autoSpaceDN w:val="0"/>
              <w:adjustRightInd w:val="0"/>
              <w:jc w:val="center"/>
              <w:rPr>
                <w:sz w:val="18"/>
                <w:szCs w:val="18"/>
                <w:lang w:val="en-US"/>
              </w:rPr>
            </w:pPr>
            <w:r w:rsidRPr="00CC50C9">
              <w:rPr>
                <w:sz w:val="18"/>
                <w:szCs w:val="18"/>
                <w:lang w:val="en-US"/>
              </w:rPr>
              <w:t>-10.7</w:t>
            </w:r>
            <w:r w:rsidR="00E82B33">
              <w:rPr>
                <w:sz w:val="18"/>
                <w:szCs w:val="18"/>
                <w:lang w:val="en-US"/>
              </w:rPr>
              <w:t>6</w:t>
            </w:r>
            <w:r w:rsidRPr="00CC50C9">
              <w:rPr>
                <w:sz w:val="18"/>
                <w:szCs w:val="18"/>
                <w:vertAlign w:val="superscript"/>
                <w:lang w:val="en-US"/>
              </w:rPr>
              <w:t>***</w:t>
            </w:r>
          </w:p>
        </w:tc>
        <w:tc>
          <w:tcPr>
            <w:tcW w:w="921" w:type="dxa"/>
            <w:tcBorders>
              <w:top w:val="nil"/>
              <w:left w:val="nil"/>
              <w:bottom w:val="nil"/>
              <w:right w:val="nil"/>
            </w:tcBorders>
          </w:tcPr>
          <w:p w:rsidR="00344317" w:rsidRPr="00CC50C9" w:rsidRDefault="00F42549" w:rsidP="00F42549">
            <w:pPr>
              <w:widowControl w:val="0"/>
              <w:autoSpaceDE w:val="0"/>
              <w:autoSpaceDN w:val="0"/>
              <w:adjustRightInd w:val="0"/>
              <w:jc w:val="center"/>
              <w:rPr>
                <w:sz w:val="18"/>
                <w:szCs w:val="18"/>
                <w:lang w:val="en-US"/>
              </w:rPr>
            </w:pPr>
            <w:r>
              <w:rPr>
                <w:sz w:val="18"/>
                <w:szCs w:val="18"/>
                <w:lang w:val="en-US"/>
              </w:rPr>
              <w:t>-5</w:t>
            </w:r>
            <w:r w:rsidR="00344317" w:rsidRPr="00CC50C9">
              <w:rPr>
                <w:sz w:val="18"/>
                <w:szCs w:val="18"/>
                <w:lang w:val="en-US"/>
              </w:rPr>
              <w:t>.</w:t>
            </w:r>
            <w:r>
              <w:rPr>
                <w:sz w:val="18"/>
                <w:szCs w:val="18"/>
                <w:lang w:val="en-US"/>
              </w:rPr>
              <w:t>52</w:t>
            </w:r>
            <w:r w:rsidR="00344317" w:rsidRPr="00CC50C9">
              <w:rPr>
                <w:sz w:val="18"/>
                <w:szCs w:val="18"/>
                <w:vertAlign w:val="superscript"/>
                <w:lang w:val="en-US"/>
              </w:rPr>
              <w:t>***</w:t>
            </w:r>
          </w:p>
        </w:tc>
        <w:tc>
          <w:tcPr>
            <w:tcW w:w="922" w:type="dxa"/>
            <w:tcBorders>
              <w:top w:val="nil"/>
              <w:left w:val="nil"/>
              <w:bottom w:val="nil"/>
              <w:right w:val="nil"/>
            </w:tcBorders>
          </w:tcPr>
          <w:p w:rsidR="00344317" w:rsidRPr="00CC50C9" w:rsidRDefault="007D2956" w:rsidP="007D2956">
            <w:pPr>
              <w:widowControl w:val="0"/>
              <w:autoSpaceDE w:val="0"/>
              <w:autoSpaceDN w:val="0"/>
              <w:adjustRightInd w:val="0"/>
              <w:jc w:val="center"/>
              <w:rPr>
                <w:sz w:val="18"/>
                <w:szCs w:val="18"/>
                <w:lang w:val="en-US"/>
              </w:rPr>
            </w:pPr>
            <w:r>
              <w:rPr>
                <w:sz w:val="18"/>
                <w:szCs w:val="18"/>
                <w:lang w:val="en-US"/>
              </w:rPr>
              <w:t>-6</w:t>
            </w:r>
            <w:r w:rsidR="00344317" w:rsidRPr="00CC50C9">
              <w:rPr>
                <w:sz w:val="18"/>
                <w:szCs w:val="18"/>
                <w:lang w:val="en-US"/>
              </w:rPr>
              <w:t>.</w:t>
            </w:r>
            <w:r>
              <w:rPr>
                <w:sz w:val="18"/>
                <w:szCs w:val="18"/>
                <w:lang w:val="en-US"/>
              </w:rPr>
              <w:t>41</w:t>
            </w:r>
            <w:r w:rsidR="00344317" w:rsidRPr="00CC50C9">
              <w:rPr>
                <w:sz w:val="18"/>
                <w:szCs w:val="18"/>
                <w:vertAlign w:val="superscript"/>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-4.57</w:t>
            </w:r>
            <w:r w:rsidRPr="00CC50C9">
              <w:rPr>
                <w:sz w:val="18"/>
                <w:szCs w:val="18"/>
                <w:vertAlign w:val="superscript"/>
                <w:lang w:val="en-US"/>
              </w:rPr>
              <w:t>**</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-5.39</w:t>
            </w:r>
            <w:r w:rsidRPr="00CC50C9">
              <w:rPr>
                <w:sz w:val="18"/>
                <w:szCs w:val="18"/>
                <w:vertAlign w:val="superscript"/>
                <w:lang w:val="en-US"/>
              </w:rPr>
              <w:t>***</w:t>
            </w:r>
          </w:p>
        </w:tc>
      </w:tr>
      <w:tr w:rsidR="002F66B5" w:rsidRPr="00592A94" w:rsidTr="002F66B5">
        <w:tc>
          <w:tcPr>
            <w:tcW w:w="2376" w:type="dxa"/>
            <w:tcBorders>
              <w:top w:val="nil"/>
              <w:left w:val="nil"/>
              <w:bottom w:val="nil"/>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nil"/>
              <w:right w:val="nil"/>
            </w:tcBorders>
          </w:tcPr>
          <w:p w:rsidR="00344317" w:rsidRPr="00CC50C9" w:rsidRDefault="00344317" w:rsidP="001A4E1A">
            <w:pPr>
              <w:widowControl w:val="0"/>
              <w:autoSpaceDE w:val="0"/>
              <w:autoSpaceDN w:val="0"/>
              <w:adjustRightInd w:val="0"/>
              <w:jc w:val="center"/>
              <w:rPr>
                <w:sz w:val="18"/>
                <w:szCs w:val="18"/>
                <w:lang w:val="en-US"/>
              </w:rPr>
            </w:pPr>
            <w:r w:rsidRPr="00CC50C9">
              <w:rPr>
                <w:sz w:val="18"/>
                <w:szCs w:val="18"/>
                <w:lang w:val="en-US"/>
              </w:rPr>
              <w:t>(1.</w:t>
            </w:r>
            <w:r w:rsidR="001A4E1A">
              <w:rPr>
                <w:sz w:val="18"/>
                <w:szCs w:val="18"/>
                <w:lang w:val="en-US"/>
              </w:rPr>
              <w:t>37</w:t>
            </w:r>
            <w:r w:rsidRPr="00CC50C9">
              <w:rPr>
                <w:sz w:val="18"/>
                <w:szCs w:val="18"/>
                <w:lang w:val="en-US"/>
              </w:rPr>
              <w:t>)</w:t>
            </w:r>
          </w:p>
        </w:tc>
        <w:tc>
          <w:tcPr>
            <w:tcW w:w="921" w:type="dxa"/>
            <w:tcBorders>
              <w:top w:val="nil"/>
              <w:left w:val="nil"/>
              <w:bottom w:val="nil"/>
              <w:right w:val="nil"/>
            </w:tcBorders>
          </w:tcPr>
          <w:p w:rsidR="00344317" w:rsidRPr="00CC50C9" w:rsidRDefault="008F0B12" w:rsidP="008F0B12">
            <w:pPr>
              <w:widowControl w:val="0"/>
              <w:autoSpaceDE w:val="0"/>
              <w:autoSpaceDN w:val="0"/>
              <w:adjustRightInd w:val="0"/>
              <w:jc w:val="center"/>
              <w:rPr>
                <w:sz w:val="18"/>
                <w:szCs w:val="18"/>
                <w:lang w:val="en-US"/>
              </w:rPr>
            </w:pPr>
            <w:r>
              <w:rPr>
                <w:sz w:val="18"/>
                <w:szCs w:val="18"/>
                <w:lang w:val="en-US"/>
              </w:rPr>
              <w:t>(1</w:t>
            </w:r>
            <w:r w:rsidR="00344317" w:rsidRPr="00CC50C9">
              <w:rPr>
                <w:sz w:val="18"/>
                <w:szCs w:val="18"/>
                <w:lang w:val="en-US"/>
              </w:rPr>
              <w:t>.</w:t>
            </w:r>
            <w:r>
              <w:rPr>
                <w:sz w:val="18"/>
                <w:szCs w:val="18"/>
                <w:lang w:val="en-US"/>
              </w:rPr>
              <w:t>43</w:t>
            </w:r>
            <w:r w:rsidR="00344317" w:rsidRPr="00CC50C9">
              <w:rPr>
                <w:sz w:val="18"/>
                <w:szCs w:val="18"/>
                <w:lang w:val="en-US"/>
              </w:rPr>
              <w:t>)</w:t>
            </w:r>
          </w:p>
        </w:tc>
        <w:tc>
          <w:tcPr>
            <w:tcW w:w="922" w:type="dxa"/>
            <w:tcBorders>
              <w:top w:val="nil"/>
              <w:left w:val="nil"/>
              <w:bottom w:val="nil"/>
              <w:right w:val="nil"/>
            </w:tcBorders>
          </w:tcPr>
          <w:p w:rsidR="00344317" w:rsidRPr="00CC50C9" w:rsidRDefault="008A7D1E" w:rsidP="002F0517">
            <w:pPr>
              <w:widowControl w:val="0"/>
              <w:autoSpaceDE w:val="0"/>
              <w:autoSpaceDN w:val="0"/>
              <w:adjustRightInd w:val="0"/>
              <w:jc w:val="center"/>
              <w:rPr>
                <w:sz w:val="18"/>
                <w:szCs w:val="18"/>
                <w:lang w:val="en-US"/>
              </w:rPr>
            </w:pPr>
            <w:r>
              <w:rPr>
                <w:sz w:val="18"/>
                <w:szCs w:val="18"/>
                <w:lang w:val="en-US"/>
              </w:rPr>
              <w:t>(2.17</w:t>
            </w:r>
            <w:r w:rsidR="00344317"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w:t>
            </w:r>
            <w:r w:rsidR="00E82B33">
              <w:rPr>
                <w:sz w:val="18"/>
                <w:szCs w:val="18"/>
                <w:lang w:val="en-US"/>
              </w:rPr>
              <w:t>2</w:t>
            </w:r>
            <w:r w:rsidRPr="00CC50C9">
              <w:rPr>
                <w:sz w:val="18"/>
                <w:szCs w:val="18"/>
                <w:lang w:val="en-US"/>
              </w:rPr>
              <w:t>3)</w:t>
            </w:r>
          </w:p>
        </w:tc>
        <w:tc>
          <w:tcPr>
            <w:tcW w:w="921" w:type="dxa"/>
            <w:tcBorders>
              <w:top w:val="nil"/>
              <w:left w:val="nil"/>
              <w:bottom w:val="nil"/>
              <w:right w:val="nil"/>
            </w:tcBorders>
          </w:tcPr>
          <w:p w:rsidR="00344317" w:rsidRPr="00CC50C9" w:rsidRDefault="00F42549" w:rsidP="002F0517">
            <w:pPr>
              <w:widowControl w:val="0"/>
              <w:autoSpaceDE w:val="0"/>
              <w:autoSpaceDN w:val="0"/>
              <w:adjustRightInd w:val="0"/>
              <w:jc w:val="center"/>
              <w:rPr>
                <w:sz w:val="18"/>
                <w:szCs w:val="18"/>
                <w:lang w:val="en-US"/>
              </w:rPr>
            </w:pPr>
            <w:r>
              <w:rPr>
                <w:sz w:val="18"/>
                <w:szCs w:val="18"/>
                <w:lang w:val="en-US"/>
              </w:rPr>
              <w:t>(0.17</w:t>
            </w:r>
            <w:r w:rsidR="00344317" w:rsidRPr="00CC50C9">
              <w:rPr>
                <w:sz w:val="18"/>
                <w:szCs w:val="18"/>
                <w:lang w:val="en-US"/>
              </w:rPr>
              <w:t>)</w:t>
            </w:r>
          </w:p>
        </w:tc>
        <w:tc>
          <w:tcPr>
            <w:tcW w:w="922" w:type="dxa"/>
            <w:tcBorders>
              <w:top w:val="nil"/>
              <w:left w:val="nil"/>
              <w:bottom w:val="nil"/>
              <w:right w:val="nil"/>
            </w:tcBorders>
          </w:tcPr>
          <w:p w:rsidR="00344317" w:rsidRPr="00CC50C9" w:rsidRDefault="00344317" w:rsidP="007D2956">
            <w:pPr>
              <w:widowControl w:val="0"/>
              <w:autoSpaceDE w:val="0"/>
              <w:autoSpaceDN w:val="0"/>
              <w:adjustRightInd w:val="0"/>
              <w:jc w:val="center"/>
              <w:rPr>
                <w:sz w:val="18"/>
                <w:szCs w:val="18"/>
                <w:lang w:val="en-US"/>
              </w:rPr>
            </w:pPr>
            <w:r w:rsidRPr="00CC50C9">
              <w:rPr>
                <w:sz w:val="18"/>
                <w:szCs w:val="18"/>
                <w:lang w:val="en-US"/>
              </w:rPr>
              <w:t>(0.3</w:t>
            </w:r>
            <w:r w:rsidR="007D2956">
              <w:rPr>
                <w:sz w:val="18"/>
                <w:szCs w:val="18"/>
                <w:lang w:val="en-US"/>
              </w:rPr>
              <w:t>6</w:t>
            </w:r>
            <w:r w:rsidRPr="00CC50C9">
              <w:rPr>
                <w:sz w:val="18"/>
                <w:szCs w:val="18"/>
                <w:lang w:val="en-US"/>
              </w:rPr>
              <w:t>)</w:t>
            </w:r>
          </w:p>
        </w:tc>
        <w:tc>
          <w:tcPr>
            <w:tcW w:w="921"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(0.70)</w:t>
            </w:r>
          </w:p>
        </w:tc>
        <w:tc>
          <w:tcPr>
            <w:tcW w:w="922" w:type="dxa"/>
            <w:tcBorders>
              <w:top w:val="nil"/>
              <w:left w:val="nil"/>
              <w:bottom w:val="nil"/>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(0.78)</w:t>
            </w:r>
          </w:p>
        </w:tc>
      </w:tr>
      <w:tr w:rsidR="008F595A" w:rsidRPr="00592A94" w:rsidTr="002F66B5">
        <w:tc>
          <w:tcPr>
            <w:tcW w:w="2376" w:type="dxa"/>
            <w:tcBorders>
              <w:top w:val="nil"/>
              <w:left w:val="nil"/>
              <w:bottom w:val="nil"/>
              <w:right w:val="nil"/>
            </w:tcBorders>
          </w:tcPr>
          <w:p w:rsidR="008F595A" w:rsidRPr="008F595A" w:rsidRDefault="008F595A" w:rsidP="002F0517">
            <w:pPr>
              <w:widowControl w:val="0"/>
              <w:autoSpaceDE w:val="0"/>
              <w:autoSpaceDN w:val="0"/>
              <w:adjustRightInd w:val="0"/>
              <w:rPr>
                <w:i/>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r>
      <w:tr w:rsidR="008F595A" w:rsidRPr="00592A94" w:rsidTr="002F66B5">
        <w:tc>
          <w:tcPr>
            <w:tcW w:w="2376" w:type="dxa"/>
            <w:tcBorders>
              <w:top w:val="nil"/>
              <w:left w:val="nil"/>
              <w:bottom w:val="nil"/>
              <w:right w:val="nil"/>
            </w:tcBorders>
          </w:tcPr>
          <w:p w:rsidR="008F595A" w:rsidRPr="008F595A" w:rsidRDefault="008F595A" w:rsidP="002F0517">
            <w:pPr>
              <w:widowControl w:val="0"/>
              <w:autoSpaceDE w:val="0"/>
              <w:autoSpaceDN w:val="0"/>
              <w:adjustRightInd w:val="0"/>
              <w:rPr>
                <w:i/>
                <w:sz w:val="18"/>
                <w:szCs w:val="18"/>
                <w:lang w:val="en-US"/>
              </w:rPr>
            </w:pPr>
            <w:r w:rsidRPr="008F595A">
              <w:rPr>
                <w:i/>
                <w:sz w:val="18"/>
                <w:szCs w:val="18"/>
                <w:lang w:val="en-US"/>
              </w:rPr>
              <w:t>Random effects parameters</w:t>
            </w: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c>
          <w:tcPr>
            <w:tcW w:w="922"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p>
        </w:tc>
      </w:tr>
      <w:tr w:rsidR="008F595A" w:rsidRPr="00592A94" w:rsidTr="002F66B5">
        <w:tc>
          <w:tcPr>
            <w:tcW w:w="2376" w:type="dxa"/>
            <w:tcBorders>
              <w:top w:val="nil"/>
              <w:left w:val="nil"/>
              <w:bottom w:val="nil"/>
              <w:right w:val="nil"/>
            </w:tcBorders>
          </w:tcPr>
          <w:p w:rsidR="008F595A" w:rsidRPr="00CC50C9" w:rsidRDefault="008F595A" w:rsidP="002F0517">
            <w:pPr>
              <w:widowControl w:val="0"/>
              <w:autoSpaceDE w:val="0"/>
              <w:autoSpaceDN w:val="0"/>
              <w:adjustRightInd w:val="0"/>
              <w:rPr>
                <w:sz w:val="18"/>
                <w:szCs w:val="18"/>
                <w:lang w:val="en-US"/>
              </w:rPr>
            </w:pPr>
            <w:r w:rsidRPr="007E4EEE">
              <w:rPr>
                <w:sz w:val="18"/>
                <w:szCs w:val="18"/>
                <w:lang w:val="en-US"/>
              </w:rPr>
              <w:t>Country-level variance</w:t>
            </w:r>
          </w:p>
        </w:tc>
        <w:tc>
          <w:tcPr>
            <w:tcW w:w="921" w:type="dxa"/>
            <w:tcBorders>
              <w:top w:val="nil"/>
              <w:left w:val="nil"/>
              <w:bottom w:val="nil"/>
              <w:right w:val="nil"/>
            </w:tcBorders>
          </w:tcPr>
          <w:p w:rsidR="008F595A" w:rsidRPr="00CC50C9" w:rsidRDefault="001A4E1A" w:rsidP="002F0517">
            <w:pPr>
              <w:widowControl w:val="0"/>
              <w:autoSpaceDE w:val="0"/>
              <w:autoSpaceDN w:val="0"/>
              <w:adjustRightInd w:val="0"/>
              <w:jc w:val="center"/>
              <w:rPr>
                <w:sz w:val="18"/>
                <w:szCs w:val="18"/>
                <w:lang w:val="en-US"/>
              </w:rPr>
            </w:pPr>
            <w:r>
              <w:rPr>
                <w:sz w:val="18"/>
                <w:szCs w:val="18"/>
                <w:lang w:val="en-US"/>
              </w:rPr>
              <w:t>0.10</w:t>
            </w:r>
          </w:p>
        </w:tc>
        <w:tc>
          <w:tcPr>
            <w:tcW w:w="921" w:type="dxa"/>
            <w:tcBorders>
              <w:top w:val="nil"/>
              <w:left w:val="nil"/>
              <w:bottom w:val="nil"/>
              <w:right w:val="nil"/>
            </w:tcBorders>
          </w:tcPr>
          <w:p w:rsidR="008F595A" w:rsidRPr="00CC50C9" w:rsidRDefault="001A4E1A" w:rsidP="002F0517">
            <w:pPr>
              <w:widowControl w:val="0"/>
              <w:autoSpaceDE w:val="0"/>
              <w:autoSpaceDN w:val="0"/>
              <w:adjustRightInd w:val="0"/>
              <w:jc w:val="center"/>
              <w:rPr>
                <w:sz w:val="18"/>
                <w:szCs w:val="18"/>
                <w:lang w:val="en-US"/>
              </w:rPr>
            </w:pPr>
            <w:r>
              <w:rPr>
                <w:sz w:val="18"/>
                <w:szCs w:val="18"/>
                <w:lang w:val="en-US"/>
              </w:rPr>
              <w:t>0.11</w:t>
            </w:r>
          </w:p>
        </w:tc>
        <w:tc>
          <w:tcPr>
            <w:tcW w:w="922" w:type="dxa"/>
            <w:tcBorders>
              <w:top w:val="nil"/>
              <w:left w:val="nil"/>
              <w:bottom w:val="nil"/>
              <w:right w:val="nil"/>
            </w:tcBorders>
          </w:tcPr>
          <w:p w:rsidR="008F595A" w:rsidRPr="00CC50C9" w:rsidRDefault="008A7D1E" w:rsidP="002F0517">
            <w:pPr>
              <w:widowControl w:val="0"/>
              <w:autoSpaceDE w:val="0"/>
              <w:autoSpaceDN w:val="0"/>
              <w:adjustRightInd w:val="0"/>
              <w:jc w:val="center"/>
              <w:rPr>
                <w:sz w:val="18"/>
                <w:szCs w:val="18"/>
                <w:lang w:val="en-US"/>
              </w:rPr>
            </w:pPr>
            <w:r>
              <w:rPr>
                <w:sz w:val="18"/>
                <w:szCs w:val="18"/>
                <w:lang w:val="en-US"/>
              </w:rPr>
              <w:t>0.08</w:t>
            </w:r>
          </w:p>
        </w:tc>
        <w:tc>
          <w:tcPr>
            <w:tcW w:w="921" w:type="dxa"/>
            <w:tcBorders>
              <w:top w:val="nil"/>
              <w:left w:val="nil"/>
              <w:bottom w:val="nil"/>
              <w:right w:val="nil"/>
            </w:tcBorders>
          </w:tcPr>
          <w:p w:rsidR="008F595A" w:rsidRPr="00CC50C9" w:rsidRDefault="00E82B33" w:rsidP="002F0517">
            <w:pPr>
              <w:widowControl w:val="0"/>
              <w:autoSpaceDE w:val="0"/>
              <w:autoSpaceDN w:val="0"/>
              <w:adjustRightInd w:val="0"/>
              <w:jc w:val="center"/>
              <w:rPr>
                <w:sz w:val="18"/>
                <w:szCs w:val="18"/>
                <w:lang w:val="en-US"/>
              </w:rPr>
            </w:pPr>
            <w:r>
              <w:rPr>
                <w:sz w:val="18"/>
                <w:szCs w:val="18"/>
                <w:lang w:val="en-US"/>
              </w:rPr>
              <w:t>0.09</w:t>
            </w:r>
          </w:p>
        </w:tc>
        <w:tc>
          <w:tcPr>
            <w:tcW w:w="921" w:type="dxa"/>
            <w:tcBorders>
              <w:top w:val="nil"/>
              <w:left w:val="nil"/>
              <w:bottom w:val="nil"/>
              <w:right w:val="nil"/>
            </w:tcBorders>
          </w:tcPr>
          <w:p w:rsidR="008F595A" w:rsidRPr="00CC50C9" w:rsidRDefault="00F42549" w:rsidP="002F0517">
            <w:pPr>
              <w:widowControl w:val="0"/>
              <w:autoSpaceDE w:val="0"/>
              <w:autoSpaceDN w:val="0"/>
              <w:adjustRightInd w:val="0"/>
              <w:jc w:val="center"/>
              <w:rPr>
                <w:sz w:val="18"/>
                <w:szCs w:val="18"/>
                <w:lang w:val="en-US"/>
              </w:rPr>
            </w:pPr>
            <w:r>
              <w:rPr>
                <w:sz w:val="18"/>
                <w:szCs w:val="18"/>
                <w:lang w:val="en-US"/>
              </w:rPr>
              <w:t>0.07</w:t>
            </w:r>
          </w:p>
        </w:tc>
        <w:tc>
          <w:tcPr>
            <w:tcW w:w="922" w:type="dxa"/>
            <w:tcBorders>
              <w:top w:val="nil"/>
              <w:left w:val="nil"/>
              <w:bottom w:val="nil"/>
              <w:right w:val="nil"/>
            </w:tcBorders>
          </w:tcPr>
          <w:p w:rsidR="008F595A" w:rsidRPr="00CC50C9" w:rsidRDefault="007D2956" w:rsidP="002F0517">
            <w:pPr>
              <w:widowControl w:val="0"/>
              <w:autoSpaceDE w:val="0"/>
              <w:autoSpaceDN w:val="0"/>
              <w:adjustRightInd w:val="0"/>
              <w:jc w:val="center"/>
              <w:rPr>
                <w:sz w:val="18"/>
                <w:szCs w:val="18"/>
                <w:lang w:val="en-US"/>
              </w:rPr>
            </w:pPr>
            <w:r>
              <w:rPr>
                <w:sz w:val="18"/>
                <w:szCs w:val="18"/>
                <w:lang w:val="en-US"/>
              </w:rPr>
              <w:t>0.08</w:t>
            </w: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r>
              <w:rPr>
                <w:sz w:val="18"/>
                <w:szCs w:val="18"/>
                <w:lang w:val="en-US"/>
              </w:rPr>
              <w:t>0.10</w:t>
            </w:r>
          </w:p>
        </w:tc>
        <w:tc>
          <w:tcPr>
            <w:tcW w:w="922" w:type="dxa"/>
            <w:tcBorders>
              <w:top w:val="nil"/>
              <w:left w:val="nil"/>
              <w:bottom w:val="nil"/>
              <w:right w:val="nil"/>
            </w:tcBorders>
          </w:tcPr>
          <w:p w:rsidR="008F595A" w:rsidRPr="00CC50C9" w:rsidRDefault="00B976BE" w:rsidP="002F0517">
            <w:pPr>
              <w:widowControl w:val="0"/>
              <w:autoSpaceDE w:val="0"/>
              <w:autoSpaceDN w:val="0"/>
              <w:adjustRightInd w:val="0"/>
              <w:jc w:val="center"/>
              <w:rPr>
                <w:sz w:val="18"/>
                <w:szCs w:val="18"/>
                <w:lang w:val="en-US"/>
              </w:rPr>
            </w:pPr>
            <w:r>
              <w:rPr>
                <w:sz w:val="18"/>
                <w:szCs w:val="18"/>
                <w:lang w:val="en-US"/>
              </w:rPr>
              <w:t>0.10</w:t>
            </w:r>
          </w:p>
        </w:tc>
      </w:tr>
      <w:tr w:rsidR="008F595A" w:rsidRPr="00592A94" w:rsidTr="002F66B5">
        <w:tc>
          <w:tcPr>
            <w:tcW w:w="2376" w:type="dxa"/>
            <w:tcBorders>
              <w:top w:val="nil"/>
              <w:left w:val="nil"/>
              <w:bottom w:val="nil"/>
              <w:right w:val="nil"/>
            </w:tcBorders>
          </w:tcPr>
          <w:p w:rsidR="008F595A" w:rsidRPr="00CC50C9" w:rsidRDefault="008F595A" w:rsidP="002F0517">
            <w:pPr>
              <w:widowControl w:val="0"/>
              <w:autoSpaceDE w:val="0"/>
              <w:autoSpaceDN w:val="0"/>
              <w:adjustRightInd w:val="0"/>
              <w:rPr>
                <w:sz w:val="18"/>
                <w:szCs w:val="18"/>
                <w:lang w:val="en-US"/>
              </w:rPr>
            </w:pPr>
            <w:r>
              <w:rPr>
                <w:sz w:val="18"/>
                <w:szCs w:val="18"/>
                <w:lang w:val="en-US"/>
              </w:rPr>
              <w:t>Proposal-level variance</w:t>
            </w:r>
          </w:p>
        </w:tc>
        <w:tc>
          <w:tcPr>
            <w:tcW w:w="921" w:type="dxa"/>
            <w:tcBorders>
              <w:top w:val="nil"/>
              <w:left w:val="nil"/>
              <w:bottom w:val="nil"/>
              <w:right w:val="nil"/>
            </w:tcBorders>
          </w:tcPr>
          <w:p w:rsidR="008F595A" w:rsidRPr="00CC50C9" w:rsidRDefault="001A4E1A" w:rsidP="002F0517">
            <w:pPr>
              <w:widowControl w:val="0"/>
              <w:autoSpaceDE w:val="0"/>
              <w:autoSpaceDN w:val="0"/>
              <w:adjustRightInd w:val="0"/>
              <w:jc w:val="center"/>
              <w:rPr>
                <w:sz w:val="18"/>
                <w:szCs w:val="18"/>
                <w:lang w:val="en-US"/>
              </w:rPr>
            </w:pPr>
            <w:r>
              <w:rPr>
                <w:sz w:val="18"/>
                <w:szCs w:val="18"/>
                <w:lang w:val="en-US"/>
              </w:rPr>
              <w:t>0.76</w:t>
            </w:r>
          </w:p>
        </w:tc>
        <w:tc>
          <w:tcPr>
            <w:tcW w:w="921" w:type="dxa"/>
            <w:tcBorders>
              <w:top w:val="nil"/>
              <w:left w:val="nil"/>
              <w:bottom w:val="nil"/>
              <w:right w:val="nil"/>
            </w:tcBorders>
          </w:tcPr>
          <w:p w:rsidR="008F595A" w:rsidRPr="00CC50C9" w:rsidRDefault="001A4E1A" w:rsidP="002F0517">
            <w:pPr>
              <w:widowControl w:val="0"/>
              <w:autoSpaceDE w:val="0"/>
              <w:autoSpaceDN w:val="0"/>
              <w:adjustRightInd w:val="0"/>
              <w:jc w:val="center"/>
              <w:rPr>
                <w:sz w:val="18"/>
                <w:szCs w:val="18"/>
                <w:lang w:val="en-US"/>
              </w:rPr>
            </w:pPr>
            <w:r>
              <w:rPr>
                <w:sz w:val="18"/>
                <w:szCs w:val="18"/>
                <w:lang w:val="en-US"/>
              </w:rPr>
              <w:t>0.65</w:t>
            </w:r>
          </w:p>
        </w:tc>
        <w:tc>
          <w:tcPr>
            <w:tcW w:w="922" w:type="dxa"/>
            <w:tcBorders>
              <w:top w:val="nil"/>
              <w:left w:val="nil"/>
              <w:bottom w:val="nil"/>
              <w:right w:val="nil"/>
            </w:tcBorders>
          </w:tcPr>
          <w:p w:rsidR="008F595A" w:rsidRPr="00CC50C9" w:rsidRDefault="008A7D1E" w:rsidP="002F0517">
            <w:pPr>
              <w:widowControl w:val="0"/>
              <w:autoSpaceDE w:val="0"/>
              <w:autoSpaceDN w:val="0"/>
              <w:adjustRightInd w:val="0"/>
              <w:jc w:val="center"/>
              <w:rPr>
                <w:sz w:val="18"/>
                <w:szCs w:val="18"/>
                <w:lang w:val="en-US"/>
              </w:rPr>
            </w:pPr>
            <w:r>
              <w:rPr>
                <w:sz w:val="18"/>
                <w:szCs w:val="18"/>
                <w:lang w:val="en-US"/>
              </w:rPr>
              <w:t>0.77</w:t>
            </w:r>
          </w:p>
        </w:tc>
        <w:tc>
          <w:tcPr>
            <w:tcW w:w="921" w:type="dxa"/>
            <w:tcBorders>
              <w:top w:val="nil"/>
              <w:left w:val="nil"/>
              <w:bottom w:val="nil"/>
              <w:right w:val="nil"/>
            </w:tcBorders>
          </w:tcPr>
          <w:p w:rsidR="008F595A" w:rsidRPr="00CC50C9" w:rsidRDefault="00E82B33" w:rsidP="002F0517">
            <w:pPr>
              <w:widowControl w:val="0"/>
              <w:autoSpaceDE w:val="0"/>
              <w:autoSpaceDN w:val="0"/>
              <w:adjustRightInd w:val="0"/>
              <w:jc w:val="center"/>
              <w:rPr>
                <w:sz w:val="18"/>
                <w:szCs w:val="18"/>
                <w:lang w:val="en-US"/>
              </w:rPr>
            </w:pPr>
            <w:r>
              <w:rPr>
                <w:sz w:val="18"/>
                <w:szCs w:val="18"/>
                <w:lang w:val="en-US"/>
              </w:rPr>
              <w:t>0.65</w:t>
            </w:r>
          </w:p>
        </w:tc>
        <w:tc>
          <w:tcPr>
            <w:tcW w:w="921" w:type="dxa"/>
            <w:tcBorders>
              <w:top w:val="nil"/>
              <w:left w:val="nil"/>
              <w:bottom w:val="nil"/>
              <w:right w:val="nil"/>
            </w:tcBorders>
          </w:tcPr>
          <w:p w:rsidR="008F595A" w:rsidRPr="00CC50C9" w:rsidRDefault="00F42549" w:rsidP="002F0517">
            <w:pPr>
              <w:widowControl w:val="0"/>
              <w:autoSpaceDE w:val="0"/>
              <w:autoSpaceDN w:val="0"/>
              <w:adjustRightInd w:val="0"/>
              <w:jc w:val="center"/>
              <w:rPr>
                <w:sz w:val="18"/>
                <w:szCs w:val="18"/>
                <w:lang w:val="en-US"/>
              </w:rPr>
            </w:pPr>
            <w:r>
              <w:rPr>
                <w:sz w:val="18"/>
                <w:szCs w:val="18"/>
                <w:lang w:val="en-US"/>
              </w:rPr>
              <w:t>0.78</w:t>
            </w:r>
          </w:p>
        </w:tc>
        <w:tc>
          <w:tcPr>
            <w:tcW w:w="922" w:type="dxa"/>
            <w:tcBorders>
              <w:top w:val="nil"/>
              <w:left w:val="nil"/>
              <w:bottom w:val="nil"/>
              <w:right w:val="nil"/>
            </w:tcBorders>
          </w:tcPr>
          <w:p w:rsidR="008F595A" w:rsidRPr="00CC50C9" w:rsidRDefault="007D2956" w:rsidP="002F0517">
            <w:pPr>
              <w:widowControl w:val="0"/>
              <w:autoSpaceDE w:val="0"/>
              <w:autoSpaceDN w:val="0"/>
              <w:adjustRightInd w:val="0"/>
              <w:jc w:val="center"/>
              <w:rPr>
                <w:sz w:val="18"/>
                <w:szCs w:val="18"/>
                <w:lang w:val="en-US"/>
              </w:rPr>
            </w:pPr>
            <w:r>
              <w:rPr>
                <w:sz w:val="18"/>
                <w:szCs w:val="18"/>
                <w:lang w:val="en-US"/>
              </w:rPr>
              <w:t>0.67</w:t>
            </w:r>
          </w:p>
        </w:tc>
        <w:tc>
          <w:tcPr>
            <w:tcW w:w="921" w:type="dxa"/>
            <w:tcBorders>
              <w:top w:val="nil"/>
              <w:left w:val="nil"/>
              <w:bottom w:val="nil"/>
              <w:right w:val="nil"/>
            </w:tcBorders>
          </w:tcPr>
          <w:p w:rsidR="008F595A" w:rsidRPr="00CC50C9" w:rsidRDefault="008F595A" w:rsidP="002F0517">
            <w:pPr>
              <w:widowControl w:val="0"/>
              <w:autoSpaceDE w:val="0"/>
              <w:autoSpaceDN w:val="0"/>
              <w:adjustRightInd w:val="0"/>
              <w:jc w:val="center"/>
              <w:rPr>
                <w:sz w:val="18"/>
                <w:szCs w:val="18"/>
                <w:lang w:val="en-US"/>
              </w:rPr>
            </w:pPr>
            <w:r>
              <w:rPr>
                <w:sz w:val="18"/>
                <w:szCs w:val="18"/>
                <w:lang w:val="en-US"/>
              </w:rPr>
              <w:t>0.76</w:t>
            </w:r>
          </w:p>
        </w:tc>
        <w:tc>
          <w:tcPr>
            <w:tcW w:w="922" w:type="dxa"/>
            <w:tcBorders>
              <w:top w:val="nil"/>
              <w:left w:val="nil"/>
              <w:bottom w:val="nil"/>
              <w:right w:val="nil"/>
            </w:tcBorders>
          </w:tcPr>
          <w:p w:rsidR="008F595A" w:rsidRPr="00CC50C9" w:rsidRDefault="00B976BE" w:rsidP="002F0517">
            <w:pPr>
              <w:widowControl w:val="0"/>
              <w:autoSpaceDE w:val="0"/>
              <w:autoSpaceDN w:val="0"/>
              <w:adjustRightInd w:val="0"/>
              <w:jc w:val="center"/>
              <w:rPr>
                <w:sz w:val="18"/>
                <w:szCs w:val="18"/>
                <w:lang w:val="en-US"/>
              </w:rPr>
            </w:pPr>
            <w:r>
              <w:rPr>
                <w:sz w:val="18"/>
                <w:szCs w:val="18"/>
                <w:lang w:val="en-US"/>
              </w:rPr>
              <w:t>0.66</w:t>
            </w:r>
          </w:p>
        </w:tc>
      </w:tr>
      <w:tr w:rsidR="002F66B5" w:rsidRPr="00592A94" w:rsidTr="00581F0A">
        <w:tc>
          <w:tcPr>
            <w:tcW w:w="2376"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1"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c>
          <w:tcPr>
            <w:tcW w:w="922" w:type="dxa"/>
            <w:tcBorders>
              <w:top w:val="nil"/>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p>
        </w:tc>
      </w:tr>
      <w:tr w:rsidR="00581F0A" w:rsidRPr="00592A94" w:rsidTr="001A4E1A">
        <w:trPr>
          <w:trHeight w:val="70"/>
        </w:trPr>
        <w:tc>
          <w:tcPr>
            <w:tcW w:w="2376" w:type="dxa"/>
            <w:tcBorders>
              <w:top w:val="single" w:sz="4" w:space="0" w:color="auto"/>
              <w:left w:val="nil"/>
              <w:bottom w:val="single" w:sz="4" w:space="0" w:color="auto"/>
              <w:right w:val="nil"/>
            </w:tcBorders>
          </w:tcPr>
          <w:p w:rsidR="00581F0A" w:rsidRPr="00CC50C9" w:rsidRDefault="00581F0A" w:rsidP="002F0517">
            <w:pPr>
              <w:widowControl w:val="0"/>
              <w:autoSpaceDE w:val="0"/>
              <w:autoSpaceDN w:val="0"/>
              <w:adjustRightInd w:val="0"/>
              <w:rPr>
                <w:sz w:val="18"/>
                <w:szCs w:val="18"/>
                <w:lang w:val="en-US"/>
              </w:rPr>
            </w:pPr>
            <w:r>
              <w:rPr>
                <w:sz w:val="18"/>
                <w:szCs w:val="18"/>
                <w:lang w:val="en-US"/>
              </w:rPr>
              <w:t>Log likelihood</w:t>
            </w:r>
          </w:p>
        </w:tc>
        <w:tc>
          <w:tcPr>
            <w:tcW w:w="921" w:type="dxa"/>
            <w:tcBorders>
              <w:top w:val="single" w:sz="4" w:space="0" w:color="auto"/>
              <w:left w:val="nil"/>
              <w:bottom w:val="single" w:sz="4" w:space="0" w:color="auto"/>
              <w:right w:val="nil"/>
            </w:tcBorders>
          </w:tcPr>
          <w:p w:rsidR="00581F0A" w:rsidRPr="00CC50C9" w:rsidRDefault="001A4E1A" w:rsidP="002F0517">
            <w:pPr>
              <w:widowControl w:val="0"/>
              <w:autoSpaceDE w:val="0"/>
              <w:autoSpaceDN w:val="0"/>
              <w:adjustRightInd w:val="0"/>
              <w:jc w:val="center"/>
              <w:rPr>
                <w:sz w:val="18"/>
                <w:szCs w:val="18"/>
                <w:lang w:val="en-US"/>
              </w:rPr>
            </w:pPr>
            <w:r>
              <w:rPr>
                <w:sz w:val="18"/>
                <w:szCs w:val="18"/>
                <w:lang w:val="en-US"/>
              </w:rPr>
              <w:t>-1360</w:t>
            </w:r>
          </w:p>
        </w:tc>
        <w:tc>
          <w:tcPr>
            <w:tcW w:w="921" w:type="dxa"/>
            <w:tcBorders>
              <w:top w:val="single" w:sz="4" w:space="0" w:color="auto"/>
              <w:left w:val="nil"/>
              <w:bottom w:val="single" w:sz="4" w:space="0" w:color="auto"/>
              <w:right w:val="nil"/>
            </w:tcBorders>
          </w:tcPr>
          <w:p w:rsidR="00581F0A" w:rsidRPr="00CC50C9" w:rsidRDefault="001A4E1A" w:rsidP="002F0517">
            <w:pPr>
              <w:widowControl w:val="0"/>
              <w:autoSpaceDE w:val="0"/>
              <w:autoSpaceDN w:val="0"/>
              <w:adjustRightInd w:val="0"/>
              <w:jc w:val="center"/>
              <w:rPr>
                <w:sz w:val="18"/>
                <w:szCs w:val="18"/>
                <w:lang w:val="en-US"/>
              </w:rPr>
            </w:pPr>
            <w:r>
              <w:rPr>
                <w:sz w:val="18"/>
                <w:szCs w:val="18"/>
                <w:lang w:val="en-US"/>
              </w:rPr>
              <w:t>-1351</w:t>
            </w:r>
          </w:p>
        </w:tc>
        <w:tc>
          <w:tcPr>
            <w:tcW w:w="922" w:type="dxa"/>
            <w:tcBorders>
              <w:top w:val="single" w:sz="4" w:space="0" w:color="auto"/>
              <w:left w:val="nil"/>
              <w:bottom w:val="single" w:sz="4" w:space="0" w:color="auto"/>
              <w:right w:val="nil"/>
            </w:tcBorders>
          </w:tcPr>
          <w:p w:rsidR="00581F0A" w:rsidRPr="00CC50C9" w:rsidRDefault="008A7D1E" w:rsidP="008A7D1E">
            <w:pPr>
              <w:widowControl w:val="0"/>
              <w:autoSpaceDE w:val="0"/>
              <w:autoSpaceDN w:val="0"/>
              <w:adjustRightInd w:val="0"/>
              <w:jc w:val="center"/>
              <w:rPr>
                <w:sz w:val="18"/>
                <w:szCs w:val="18"/>
                <w:lang w:val="en-US"/>
              </w:rPr>
            </w:pPr>
            <w:r>
              <w:rPr>
                <w:sz w:val="18"/>
                <w:szCs w:val="18"/>
                <w:lang w:val="en-US"/>
              </w:rPr>
              <w:t>-1271</w:t>
            </w:r>
          </w:p>
        </w:tc>
        <w:tc>
          <w:tcPr>
            <w:tcW w:w="921" w:type="dxa"/>
            <w:tcBorders>
              <w:top w:val="single" w:sz="4" w:space="0" w:color="auto"/>
              <w:left w:val="nil"/>
              <w:bottom w:val="single" w:sz="4" w:space="0" w:color="auto"/>
              <w:right w:val="nil"/>
            </w:tcBorders>
          </w:tcPr>
          <w:p w:rsidR="00581F0A" w:rsidRPr="00CC50C9" w:rsidRDefault="00593DFA" w:rsidP="00EC54A9">
            <w:pPr>
              <w:widowControl w:val="0"/>
              <w:autoSpaceDE w:val="0"/>
              <w:autoSpaceDN w:val="0"/>
              <w:adjustRightInd w:val="0"/>
              <w:jc w:val="center"/>
              <w:rPr>
                <w:sz w:val="18"/>
                <w:szCs w:val="18"/>
                <w:lang w:val="en-US"/>
              </w:rPr>
            </w:pPr>
            <w:r>
              <w:rPr>
                <w:sz w:val="18"/>
                <w:szCs w:val="18"/>
                <w:lang w:val="en-US"/>
              </w:rPr>
              <w:t>-126</w:t>
            </w:r>
            <w:r w:rsidR="00254378">
              <w:rPr>
                <w:sz w:val="18"/>
                <w:szCs w:val="18"/>
                <w:lang w:val="en-US"/>
              </w:rPr>
              <w:t>1</w:t>
            </w:r>
          </w:p>
        </w:tc>
        <w:tc>
          <w:tcPr>
            <w:tcW w:w="921" w:type="dxa"/>
            <w:tcBorders>
              <w:top w:val="single" w:sz="4" w:space="0" w:color="auto"/>
              <w:left w:val="nil"/>
              <w:bottom w:val="single" w:sz="4" w:space="0" w:color="auto"/>
              <w:right w:val="nil"/>
            </w:tcBorders>
          </w:tcPr>
          <w:p w:rsidR="00581F0A" w:rsidRPr="00CC50C9" w:rsidRDefault="00F42549" w:rsidP="002F0517">
            <w:pPr>
              <w:widowControl w:val="0"/>
              <w:autoSpaceDE w:val="0"/>
              <w:autoSpaceDN w:val="0"/>
              <w:adjustRightInd w:val="0"/>
              <w:jc w:val="center"/>
              <w:rPr>
                <w:sz w:val="18"/>
                <w:szCs w:val="18"/>
                <w:lang w:val="en-US"/>
              </w:rPr>
            </w:pPr>
            <w:r>
              <w:rPr>
                <w:sz w:val="18"/>
                <w:szCs w:val="18"/>
                <w:lang w:val="en-US"/>
              </w:rPr>
              <w:t>-1359</w:t>
            </w:r>
          </w:p>
        </w:tc>
        <w:tc>
          <w:tcPr>
            <w:tcW w:w="922" w:type="dxa"/>
            <w:tcBorders>
              <w:top w:val="single" w:sz="4" w:space="0" w:color="auto"/>
              <w:left w:val="nil"/>
              <w:bottom w:val="single" w:sz="4" w:space="0" w:color="auto"/>
              <w:right w:val="nil"/>
            </w:tcBorders>
          </w:tcPr>
          <w:p w:rsidR="00581F0A" w:rsidRPr="00CC50C9" w:rsidRDefault="007D2956" w:rsidP="002F0517">
            <w:pPr>
              <w:widowControl w:val="0"/>
              <w:autoSpaceDE w:val="0"/>
              <w:autoSpaceDN w:val="0"/>
              <w:adjustRightInd w:val="0"/>
              <w:jc w:val="center"/>
              <w:rPr>
                <w:sz w:val="18"/>
                <w:szCs w:val="18"/>
                <w:lang w:val="en-US"/>
              </w:rPr>
            </w:pPr>
            <w:r>
              <w:rPr>
                <w:sz w:val="18"/>
                <w:szCs w:val="18"/>
                <w:lang w:val="en-US"/>
              </w:rPr>
              <w:t>-1349</w:t>
            </w:r>
          </w:p>
        </w:tc>
        <w:tc>
          <w:tcPr>
            <w:tcW w:w="921" w:type="dxa"/>
            <w:tcBorders>
              <w:top w:val="single" w:sz="4" w:space="0" w:color="auto"/>
              <w:left w:val="nil"/>
              <w:bottom w:val="single" w:sz="4" w:space="0" w:color="auto"/>
              <w:right w:val="nil"/>
            </w:tcBorders>
          </w:tcPr>
          <w:p w:rsidR="00581F0A" w:rsidRPr="00CC50C9" w:rsidRDefault="00581F0A" w:rsidP="002F0517">
            <w:pPr>
              <w:widowControl w:val="0"/>
              <w:autoSpaceDE w:val="0"/>
              <w:autoSpaceDN w:val="0"/>
              <w:adjustRightInd w:val="0"/>
              <w:jc w:val="center"/>
              <w:rPr>
                <w:sz w:val="18"/>
                <w:szCs w:val="18"/>
                <w:lang w:val="en-US"/>
              </w:rPr>
            </w:pPr>
            <w:r>
              <w:rPr>
                <w:sz w:val="18"/>
                <w:szCs w:val="18"/>
                <w:lang w:val="en-US"/>
              </w:rPr>
              <w:t>-1362</w:t>
            </w:r>
          </w:p>
        </w:tc>
        <w:tc>
          <w:tcPr>
            <w:tcW w:w="922" w:type="dxa"/>
            <w:tcBorders>
              <w:top w:val="single" w:sz="4" w:space="0" w:color="auto"/>
              <w:left w:val="nil"/>
              <w:bottom w:val="single" w:sz="4" w:space="0" w:color="auto"/>
              <w:right w:val="nil"/>
            </w:tcBorders>
          </w:tcPr>
          <w:p w:rsidR="00581F0A" w:rsidRPr="00CC50C9" w:rsidRDefault="00581F0A" w:rsidP="002F0517">
            <w:pPr>
              <w:widowControl w:val="0"/>
              <w:autoSpaceDE w:val="0"/>
              <w:autoSpaceDN w:val="0"/>
              <w:adjustRightInd w:val="0"/>
              <w:jc w:val="center"/>
              <w:rPr>
                <w:sz w:val="18"/>
                <w:szCs w:val="18"/>
                <w:lang w:val="en-US"/>
              </w:rPr>
            </w:pPr>
            <w:r>
              <w:rPr>
                <w:sz w:val="18"/>
                <w:szCs w:val="18"/>
                <w:lang w:val="en-US"/>
              </w:rPr>
              <w:t>-1352</w:t>
            </w:r>
          </w:p>
        </w:tc>
      </w:tr>
      <w:tr w:rsidR="002F66B5" w:rsidRPr="00592A94" w:rsidTr="001A4E1A">
        <w:trPr>
          <w:trHeight w:val="70"/>
        </w:trPr>
        <w:tc>
          <w:tcPr>
            <w:tcW w:w="2376"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rPr>
                <w:sz w:val="18"/>
                <w:szCs w:val="18"/>
                <w:lang w:val="en-US"/>
              </w:rPr>
            </w:pPr>
            <w:r w:rsidRPr="00CC50C9">
              <w:rPr>
                <w:sz w:val="18"/>
                <w:szCs w:val="18"/>
                <w:lang w:val="en-US"/>
              </w:rPr>
              <w:t>Observations</w:t>
            </w: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922" w:type="dxa"/>
            <w:tcBorders>
              <w:top w:val="single" w:sz="4" w:space="0" w:color="auto"/>
              <w:left w:val="nil"/>
              <w:bottom w:val="single" w:sz="4" w:space="0" w:color="auto"/>
              <w:right w:val="nil"/>
            </w:tcBorders>
          </w:tcPr>
          <w:p w:rsidR="00344317" w:rsidRPr="00CC50C9" w:rsidRDefault="00344317" w:rsidP="00EC54A9">
            <w:pPr>
              <w:widowControl w:val="0"/>
              <w:autoSpaceDE w:val="0"/>
              <w:autoSpaceDN w:val="0"/>
              <w:adjustRightInd w:val="0"/>
              <w:jc w:val="center"/>
              <w:rPr>
                <w:sz w:val="18"/>
                <w:szCs w:val="18"/>
                <w:lang w:val="en-US"/>
              </w:rPr>
            </w:pPr>
            <w:r w:rsidRPr="00CC50C9">
              <w:rPr>
                <w:sz w:val="18"/>
                <w:szCs w:val="18"/>
                <w:lang w:val="en-US"/>
              </w:rPr>
              <w:t>23</w:t>
            </w:r>
            <w:r w:rsidR="00EC54A9">
              <w:rPr>
                <w:sz w:val="18"/>
                <w:szCs w:val="18"/>
                <w:lang w:val="en-US"/>
              </w:rPr>
              <w:t>254</w:t>
            </w:r>
          </w:p>
        </w:tc>
        <w:tc>
          <w:tcPr>
            <w:tcW w:w="921" w:type="dxa"/>
            <w:tcBorders>
              <w:top w:val="single" w:sz="4" w:space="0" w:color="auto"/>
              <w:left w:val="nil"/>
              <w:bottom w:val="single" w:sz="4" w:space="0" w:color="auto"/>
              <w:right w:val="nil"/>
            </w:tcBorders>
          </w:tcPr>
          <w:p w:rsidR="00344317" w:rsidRPr="00CC50C9" w:rsidRDefault="00344317" w:rsidP="00EC54A9">
            <w:pPr>
              <w:widowControl w:val="0"/>
              <w:autoSpaceDE w:val="0"/>
              <w:autoSpaceDN w:val="0"/>
              <w:adjustRightInd w:val="0"/>
              <w:jc w:val="center"/>
              <w:rPr>
                <w:sz w:val="18"/>
                <w:szCs w:val="18"/>
                <w:lang w:val="en-US"/>
              </w:rPr>
            </w:pPr>
            <w:r w:rsidRPr="00CC50C9">
              <w:rPr>
                <w:sz w:val="18"/>
                <w:szCs w:val="18"/>
                <w:lang w:val="en-US"/>
              </w:rPr>
              <w:t>23</w:t>
            </w:r>
            <w:r w:rsidR="00EC54A9">
              <w:rPr>
                <w:sz w:val="18"/>
                <w:szCs w:val="18"/>
                <w:lang w:val="en-US"/>
              </w:rPr>
              <w:t>254</w:t>
            </w: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922"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921"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c>
          <w:tcPr>
            <w:tcW w:w="922"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jc w:val="center"/>
              <w:rPr>
                <w:sz w:val="18"/>
                <w:szCs w:val="18"/>
                <w:lang w:val="en-US"/>
              </w:rPr>
            </w:pPr>
            <w:r w:rsidRPr="00CC50C9">
              <w:rPr>
                <w:sz w:val="18"/>
                <w:szCs w:val="18"/>
                <w:lang w:val="en-US"/>
              </w:rPr>
              <w:t>25174</w:t>
            </w:r>
          </w:p>
        </w:tc>
      </w:tr>
      <w:tr w:rsidR="002F66B5" w:rsidRPr="00592A94" w:rsidTr="001A4E1A">
        <w:trPr>
          <w:trHeight w:val="80"/>
        </w:trPr>
        <w:tc>
          <w:tcPr>
            <w:tcW w:w="2376" w:type="dxa"/>
            <w:tcBorders>
              <w:top w:val="single" w:sz="4" w:space="0" w:color="auto"/>
              <w:left w:val="nil"/>
              <w:bottom w:val="single" w:sz="4" w:space="0" w:color="auto"/>
              <w:right w:val="nil"/>
            </w:tcBorders>
          </w:tcPr>
          <w:p w:rsidR="00344317" w:rsidRPr="00CC50C9" w:rsidRDefault="00344317" w:rsidP="002F0517">
            <w:pPr>
              <w:widowControl w:val="0"/>
              <w:autoSpaceDE w:val="0"/>
              <w:autoSpaceDN w:val="0"/>
              <w:adjustRightInd w:val="0"/>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c>
          <w:tcPr>
            <w:tcW w:w="922"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c>
          <w:tcPr>
            <w:tcW w:w="922"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c>
          <w:tcPr>
            <w:tcW w:w="921"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c>
          <w:tcPr>
            <w:tcW w:w="922" w:type="dxa"/>
            <w:tcBorders>
              <w:top w:val="single" w:sz="4" w:space="0" w:color="auto"/>
              <w:left w:val="nil"/>
              <w:bottom w:val="single" w:sz="4" w:space="0" w:color="auto"/>
              <w:right w:val="nil"/>
            </w:tcBorders>
          </w:tcPr>
          <w:p w:rsidR="00344317" w:rsidRPr="00CC50C9" w:rsidRDefault="00344317" w:rsidP="001A4E1A">
            <w:pPr>
              <w:widowControl w:val="0"/>
              <w:autoSpaceDE w:val="0"/>
              <w:autoSpaceDN w:val="0"/>
              <w:adjustRightInd w:val="0"/>
              <w:rPr>
                <w:sz w:val="18"/>
                <w:szCs w:val="18"/>
                <w:lang w:val="en-US"/>
              </w:rPr>
            </w:pPr>
          </w:p>
        </w:tc>
      </w:tr>
    </w:tbl>
    <w:p w:rsidR="00344317" w:rsidRDefault="00344317" w:rsidP="00344317">
      <w:pPr>
        <w:pStyle w:val="PaperFirstParagraph"/>
        <w:spacing w:line="240" w:lineRule="auto"/>
        <w:rPr>
          <w:sz w:val="20"/>
          <w:szCs w:val="20"/>
          <w:lang w:val="en-US"/>
        </w:rPr>
      </w:pPr>
      <w:r>
        <w:rPr>
          <w:sz w:val="20"/>
          <w:szCs w:val="20"/>
          <w:vertAlign w:val="superscript"/>
          <w:lang w:val="en-US"/>
        </w:rPr>
        <w:t>*</w:t>
      </w:r>
      <w:r>
        <w:rPr>
          <w:sz w:val="20"/>
          <w:szCs w:val="20"/>
          <w:lang w:val="en-US"/>
        </w:rPr>
        <w:t xml:space="preserve"> </w:t>
      </w:r>
      <w:proofErr w:type="gramStart"/>
      <w:r>
        <w:rPr>
          <w:i/>
          <w:iCs/>
          <w:sz w:val="20"/>
          <w:szCs w:val="20"/>
          <w:lang w:val="en-US"/>
        </w:rPr>
        <w:t>p</w:t>
      </w:r>
      <w:proofErr w:type="gramEnd"/>
      <w:r>
        <w:rPr>
          <w:sz w:val="20"/>
          <w:szCs w:val="20"/>
          <w:lang w:val="en-US"/>
        </w:rPr>
        <w:t xml:space="preserve"> &lt; .10, </w:t>
      </w:r>
      <w:r>
        <w:rPr>
          <w:sz w:val="20"/>
          <w:szCs w:val="20"/>
          <w:vertAlign w:val="superscript"/>
          <w:lang w:val="en-US"/>
        </w:rPr>
        <w:t>**</w:t>
      </w:r>
      <w:r>
        <w:rPr>
          <w:sz w:val="20"/>
          <w:szCs w:val="20"/>
          <w:lang w:val="en-US"/>
        </w:rPr>
        <w:t xml:space="preserve"> </w:t>
      </w:r>
      <w:r>
        <w:rPr>
          <w:i/>
          <w:iCs/>
          <w:sz w:val="20"/>
          <w:szCs w:val="20"/>
          <w:lang w:val="en-US"/>
        </w:rPr>
        <w:t>p</w:t>
      </w:r>
      <w:r>
        <w:rPr>
          <w:sz w:val="20"/>
          <w:szCs w:val="20"/>
          <w:lang w:val="en-US"/>
        </w:rPr>
        <w:t xml:space="preserve"> &lt; .05, </w:t>
      </w:r>
      <w:r>
        <w:rPr>
          <w:sz w:val="20"/>
          <w:szCs w:val="20"/>
          <w:vertAlign w:val="superscript"/>
          <w:lang w:val="en-US"/>
        </w:rPr>
        <w:t>***</w:t>
      </w:r>
      <w:r>
        <w:rPr>
          <w:sz w:val="20"/>
          <w:szCs w:val="20"/>
          <w:lang w:val="en-US"/>
        </w:rPr>
        <w:t xml:space="preserve"> </w:t>
      </w:r>
      <w:r>
        <w:rPr>
          <w:i/>
          <w:iCs/>
          <w:sz w:val="20"/>
          <w:szCs w:val="20"/>
          <w:lang w:val="en-US"/>
        </w:rPr>
        <w:t>p</w:t>
      </w:r>
      <w:r>
        <w:rPr>
          <w:sz w:val="20"/>
          <w:szCs w:val="20"/>
          <w:lang w:val="en-US"/>
        </w:rPr>
        <w:t xml:space="preserve"> &lt; .01</w:t>
      </w:r>
    </w:p>
    <w:p w:rsidR="00344317" w:rsidRPr="00FE22AB" w:rsidRDefault="00344317" w:rsidP="00344317">
      <w:pPr>
        <w:rPr>
          <w:lang w:val="en-US"/>
        </w:rPr>
      </w:pPr>
    </w:p>
    <w:p w:rsidR="00344317" w:rsidRDefault="00344317" w:rsidP="00344317">
      <w:pPr>
        <w:spacing w:line="360" w:lineRule="auto"/>
        <w:rPr>
          <w:lang w:val="en-GB"/>
        </w:rPr>
      </w:pPr>
    </w:p>
    <w:p w:rsidR="00344317" w:rsidRDefault="00B01FC7" w:rsidP="00344317">
      <w:pPr>
        <w:spacing w:after="200" w:line="276" w:lineRule="auto"/>
        <w:rPr>
          <w:lang w:val="en-GB"/>
        </w:rPr>
      </w:pPr>
      <w:r>
        <w:rPr>
          <w:lang w:val="en-GB"/>
        </w:rPr>
        <w:br w:type="page"/>
      </w:r>
      <w:r>
        <w:rPr>
          <w:lang w:val="en-GB"/>
        </w:rPr>
        <w:lastRenderedPageBreak/>
        <w:t>Table A6</w:t>
      </w:r>
      <w:r w:rsidR="00344317">
        <w:rPr>
          <w:lang w:val="en-GB"/>
        </w:rPr>
        <w:t xml:space="preserve"> </w:t>
      </w:r>
      <w:r w:rsidR="00344317">
        <w:rPr>
          <w:lang w:val="en-US"/>
        </w:rPr>
        <w:t>Voting against the majority in the Council by policy sector 2004-09,</w:t>
      </w:r>
      <w:r w:rsidR="00344317">
        <w:rPr>
          <w:lang w:val="en-GB"/>
        </w:rPr>
        <w:t xml:space="preserve"> multilevel logistic regression, </w:t>
      </w:r>
      <w:proofErr w:type="gramStart"/>
      <w:r w:rsidR="00344317">
        <w:rPr>
          <w:lang w:val="en-GB"/>
        </w:rPr>
        <w:t>ideological</w:t>
      </w:r>
      <w:proofErr w:type="gramEnd"/>
      <w:r w:rsidR="00344317">
        <w:rPr>
          <w:lang w:val="en-GB"/>
        </w:rPr>
        <w:t xml:space="preserve"> variables squared</w:t>
      </w:r>
    </w:p>
    <w:tbl>
      <w:tblPr>
        <w:tblW w:w="10598" w:type="dxa"/>
        <w:tblLayout w:type="fixed"/>
        <w:tblLook w:val="0000" w:firstRow="0" w:lastRow="0" w:firstColumn="0" w:lastColumn="0" w:noHBand="0" w:noVBand="0"/>
      </w:tblPr>
      <w:tblGrid>
        <w:gridCol w:w="2518"/>
        <w:gridCol w:w="1010"/>
        <w:gridCol w:w="1010"/>
        <w:gridCol w:w="1010"/>
        <w:gridCol w:w="1010"/>
        <w:gridCol w:w="1010"/>
        <w:gridCol w:w="1010"/>
        <w:gridCol w:w="1010"/>
        <w:gridCol w:w="1010"/>
      </w:tblGrid>
      <w:tr w:rsidR="00344317" w:rsidTr="00B01FC7">
        <w:tc>
          <w:tcPr>
            <w:tcW w:w="2518" w:type="dxa"/>
            <w:tcBorders>
              <w:top w:val="single" w:sz="4" w:space="0" w:color="auto"/>
              <w:left w:val="nil"/>
              <w:bottom w:val="single" w:sz="4" w:space="0" w:color="auto"/>
              <w:right w:val="nil"/>
            </w:tcBorders>
          </w:tcPr>
          <w:p w:rsidR="00344317" w:rsidRPr="00572AFE" w:rsidRDefault="00344317" w:rsidP="002F0517">
            <w:pPr>
              <w:widowControl w:val="0"/>
              <w:autoSpaceDE w:val="0"/>
              <w:autoSpaceDN w:val="0"/>
              <w:adjustRightInd w:val="0"/>
              <w:rPr>
                <w:sz w:val="18"/>
                <w:szCs w:val="18"/>
                <w:lang w:val="en-GB"/>
              </w:rPr>
            </w:pPr>
          </w:p>
        </w:tc>
        <w:tc>
          <w:tcPr>
            <w:tcW w:w="2020" w:type="dxa"/>
            <w:gridSpan w:val="2"/>
            <w:tcBorders>
              <w:top w:val="single" w:sz="4" w:space="0" w:color="auto"/>
              <w:left w:val="nil"/>
              <w:bottom w:val="single" w:sz="4" w:space="0" w:color="auto"/>
              <w:right w:val="nil"/>
            </w:tcBorders>
          </w:tcPr>
          <w:p w:rsidR="00344317" w:rsidRPr="00572AFE" w:rsidRDefault="00344317" w:rsidP="002F0517">
            <w:pPr>
              <w:widowControl w:val="0"/>
              <w:autoSpaceDE w:val="0"/>
              <w:autoSpaceDN w:val="0"/>
              <w:adjustRightInd w:val="0"/>
              <w:ind w:left="-250" w:firstLine="250"/>
              <w:jc w:val="center"/>
              <w:rPr>
                <w:sz w:val="18"/>
                <w:szCs w:val="18"/>
                <w:lang w:val="en-US"/>
              </w:rPr>
            </w:pPr>
            <w:r w:rsidRPr="00572AFE">
              <w:rPr>
                <w:sz w:val="18"/>
                <w:szCs w:val="18"/>
                <w:lang w:val="en-US"/>
              </w:rPr>
              <w:t>Agriculture</w:t>
            </w:r>
          </w:p>
        </w:tc>
        <w:tc>
          <w:tcPr>
            <w:tcW w:w="2020" w:type="dxa"/>
            <w:gridSpan w:val="2"/>
            <w:tcBorders>
              <w:top w:val="single" w:sz="4" w:space="0" w:color="auto"/>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Fishery</w:t>
            </w:r>
          </w:p>
        </w:tc>
        <w:tc>
          <w:tcPr>
            <w:tcW w:w="2020" w:type="dxa"/>
            <w:gridSpan w:val="2"/>
            <w:tcBorders>
              <w:top w:val="single" w:sz="4" w:space="0" w:color="auto"/>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Environmental</w:t>
            </w:r>
          </w:p>
        </w:tc>
        <w:tc>
          <w:tcPr>
            <w:tcW w:w="2020" w:type="dxa"/>
            <w:gridSpan w:val="2"/>
            <w:tcBorders>
              <w:top w:val="single" w:sz="4" w:space="0" w:color="auto"/>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Economic</w:t>
            </w:r>
          </w:p>
        </w:tc>
      </w:tr>
      <w:tr w:rsidR="00344317" w:rsidTr="00B01FC7">
        <w:tc>
          <w:tcPr>
            <w:tcW w:w="2518" w:type="dxa"/>
            <w:tcBorders>
              <w:top w:val="single" w:sz="4" w:space="0" w:color="auto"/>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Ratio EU Spend./Contrib. (log)</w:t>
            </w:r>
          </w:p>
        </w:tc>
        <w:tc>
          <w:tcPr>
            <w:tcW w:w="1010" w:type="dxa"/>
            <w:tcBorders>
              <w:top w:val="single" w:sz="4" w:space="0" w:color="auto"/>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-0.70***</w:t>
            </w:r>
          </w:p>
        </w:tc>
        <w:tc>
          <w:tcPr>
            <w:tcW w:w="1010" w:type="dxa"/>
            <w:tcBorders>
              <w:top w:val="single" w:sz="4" w:space="0" w:color="auto"/>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-0.71</w:t>
            </w:r>
            <w:r w:rsidRPr="00572AFE">
              <w:rPr>
                <w:sz w:val="18"/>
                <w:szCs w:val="18"/>
                <w:vertAlign w:val="superscript"/>
                <w:lang w:val="en-US"/>
              </w:rPr>
              <w:t>***</w:t>
            </w:r>
          </w:p>
        </w:tc>
        <w:tc>
          <w:tcPr>
            <w:tcW w:w="1010" w:type="dxa"/>
            <w:tcBorders>
              <w:top w:val="single" w:sz="4" w:space="0" w:color="auto"/>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0.25</w:t>
            </w:r>
          </w:p>
        </w:tc>
        <w:tc>
          <w:tcPr>
            <w:tcW w:w="1010" w:type="dxa"/>
            <w:tcBorders>
              <w:top w:val="single" w:sz="4" w:space="0" w:color="auto"/>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0.21</w:t>
            </w:r>
          </w:p>
        </w:tc>
        <w:tc>
          <w:tcPr>
            <w:tcW w:w="1010" w:type="dxa"/>
            <w:tcBorders>
              <w:top w:val="single" w:sz="4" w:space="0" w:color="auto"/>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-0.72</w:t>
            </w:r>
            <w:r w:rsidRPr="00572AFE">
              <w:rPr>
                <w:sz w:val="18"/>
                <w:szCs w:val="18"/>
                <w:vertAlign w:val="superscript"/>
                <w:lang w:val="en-US"/>
              </w:rPr>
              <w:t>**</w:t>
            </w:r>
          </w:p>
        </w:tc>
        <w:tc>
          <w:tcPr>
            <w:tcW w:w="1010" w:type="dxa"/>
            <w:tcBorders>
              <w:top w:val="single" w:sz="4" w:space="0" w:color="auto"/>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-0.76</w:t>
            </w:r>
            <w:r w:rsidRPr="00572AFE">
              <w:rPr>
                <w:sz w:val="18"/>
                <w:szCs w:val="18"/>
                <w:vertAlign w:val="superscript"/>
                <w:lang w:val="en-US"/>
              </w:rPr>
              <w:t>**</w:t>
            </w:r>
          </w:p>
        </w:tc>
        <w:tc>
          <w:tcPr>
            <w:tcW w:w="1010" w:type="dxa"/>
            <w:tcBorders>
              <w:top w:val="single" w:sz="4" w:space="0" w:color="auto"/>
              <w:left w:val="nil"/>
              <w:bottom w:val="nil"/>
              <w:right w:val="nil"/>
            </w:tcBorders>
            <w:shd w:val="clear" w:color="auto" w:fill="auto"/>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-0.68</w:t>
            </w:r>
            <w:r w:rsidRPr="00572AFE">
              <w:rPr>
                <w:sz w:val="18"/>
                <w:szCs w:val="18"/>
                <w:vertAlign w:val="superscript"/>
                <w:lang w:val="en-US"/>
              </w:rPr>
              <w:t>***</w:t>
            </w:r>
          </w:p>
        </w:tc>
        <w:tc>
          <w:tcPr>
            <w:tcW w:w="1010" w:type="dxa"/>
            <w:tcBorders>
              <w:top w:val="single" w:sz="4" w:space="0" w:color="auto"/>
              <w:left w:val="nil"/>
              <w:bottom w:val="nil"/>
              <w:right w:val="nil"/>
            </w:tcBorders>
            <w:shd w:val="clear" w:color="auto" w:fill="auto"/>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-0.69</w:t>
            </w:r>
            <w:r w:rsidRPr="00572AFE">
              <w:rPr>
                <w:sz w:val="18"/>
                <w:szCs w:val="18"/>
                <w:vertAlign w:val="superscript"/>
                <w:lang w:val="en-US"/>
              </w:rPr>
              <w:t>***</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(0.29)</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(0.16)</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(0.33)</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(0.32)</w:t>
            </w:r>
          </w:p>
        </w:tc>
        <w:tc>
          <w:tcPr>
            <w:tcW w:w="1010" w:type="dxa"/>
            <w:tcBorders>
              <w:top w:val="nil"/>
              <w:left w:val="nil"/>
              <w:bottom w:val="nil"/>
              <w:right w:val="nil"/>
            </w:tcBorders>
            <w:shd w:val="clear" w:color="auto" w:fill="auto"/>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(0.22)</w:t>
            </w:r>
          </w:p>
        </w:tc>
        <w:tc>
          <w:tcPr>
            <w:tcW w:w="1010" w:type="dxa"/>
            <w:tcBorders>
              <w:top w:val="nil"/>
              <w:left w:val="nil"/>
              <w:bottom w:val="nil"/>
              <w:right w:val="nil"/>
            </w:tcBorders>
            <w:shd w:val="clear" w:color="auto" w:fill="auto"/>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(0.22)</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Left-Right Position</w:t>
            </w:r>
            <w:r w:rsidRPr="00572AFE">
              <w:rPr>
                <w:sz w:val="18"/>
                <w:szCs w:val="18"/>
                <w:vertAlign w:val="superscript"/>
                <w:lang w:val="en-US"/>
              </w:rPr>
              <w:t>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GB"/>
              </w:rPr>
            </w:pPr>
            <w:r w:rsidRPr="00572AFE">
              <w:rPr>
                <w:sz w:val="18"/>
                <w:szCs w:val="18"/>
                <w:lang w:val="en-GB"/>
              </w:rPr>
              <w:t xml:space="preserve">Agriculture value added per worker </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-0.09***</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-0.09**</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(0.03)</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(0.03)</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Fishery Production (log)</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0.28</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0.30</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(0.15)</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(0.15)</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rPr>
          <w:trHeight w:val="305"/>
        </w:trPr>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fr-CH"/>
              </w:rPr>
            </w:pPr>
            <w:proofErr w:type="spellStart"/>
            <w:r w:rsidRPr="00572AFE">
              <w:rPr>
                <w:sz w:val="18"/>
                <w:szCs w:val="18"/>
                <w:lang w:val="fr-CH"/>
              </w:rPr>
              <w:t>Gov</w:t>
            </w:r>
            <w:proofErr w:type="spellEnd"/>
            <w:r w:rsidRPr="00572AFE">
              <w:rPr>
                <w:sz w:val="18"/>
                <w:szCs w:val="18"/>
                <w:lang w:val="fr-CH"/>
              </w:rPr>
              <w:t xml:space="preserve">. pos. on </w:t>
            </w:r>
            <w:proofErr w:type="spellStart"/>
            <w:r w:rsidRPr="00572AFE">
              <w:rPr>
                <w:sz w:val="18"/>
                <w:szCs w:val="18"/>
                <w:lang w:val="fr-CH"/>
              </w:rPr>
              <w:t>environment</w:t>
            </w:r>
            <w:proofErr w:type="spellEnd"/>
            <w:r w:rsidRPr="00572AFE">
              <w:rPr>
                <w:sz w:val="18"/>
                <w:szCs w:val="18"/>
                <w:lang w:val="fr-CH"/>
              </w:rPr>
              <w:t xml:space="preserve"> protection</w:t>
            </w:r>
            <w:r w:rsidRPr="00572AFE">
              <w:rPr>
                <w:sz w:val="18"/>
                <w:szCs w:val="18"/>
                <w:vertAlign w:val="superscript"/>
                <w:lang w:val="fr-CH"/>
              </w:rPr>
              <w:t>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fr-CH"/>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fr-CH"/>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fr-CH"/>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fr-CH"/>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roofErr w:type="spellStart"/>
            <w:r w:rsidRPr="00572AFE">
              <w:rPr>
                <w:sz w:val="18"/>
                <w:szCs w:val="18"/>
                <w:lang w:val="en-US"/>
              </w:rPr>
              <w:t>SOx</w:t>
            </w:r>
            <w:proofErr w:type="spellEnd"/>
            <w:r w:rsidRPr="00572AFE">
              <w:rPr>
                <w:sz w:val="18"/>
                <w:szCs w:val="18"/>
                <w:lang w:val="en-US"/>
              </w:rPr>
              <w:t xml:space="preserve"> emissions per cap (log)</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0.55</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0.55</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(0.30)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(0.29)</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r>
      <w:tr w:rsidR="00344317" w:rsidRPr="002044B1"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Gov. position on tax vs. spending</w:t>
            </w:r>
            <w:r w:rsidRPr="00572AFE">
              <w:rPr>
                <w:sz w:val="18"/>
                <w:szCs w:val="18"/>
                <w:vertAlign w:val="superscript"/>
                <w:lang w:val="en-US"/>
              </w:rPr>
              <w:t>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r>
      <w:tr w:rsidR="00344317" w:rsidRPr="002044B1"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(0.00)</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GDP per cap (log)</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-0.91</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-0.92</w:t>
            </w:r>
            <w:r w:rsidRPr="00572AFE">
              <w:rPr>
                <w:sz w:val="18"/>
                <w:szCs w:val="18"/>
                <w:vertAlign w:val="superscript"/>
                <w:lang w:val="en-US"/>
              </w:rPr>
              <w:t>*</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(0.50)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(0.50)</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QMV</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0.31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-0.76</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1.37</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(0.61)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(1.11)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(1.03)</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President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-0.74</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-11.8</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-16.1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-1.52</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(0.63)</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(235.57)</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(971.9)</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(1.04)</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Commissioner</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0.21</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0.57</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(0.50)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(0.48)</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Other dissenting votes</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0.75</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0.75</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0.88</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0.88</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1.26</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1.28</w:t>
            </w:r>
            <w:r w:rsidRPr="00572AFE">
              <w:rPr>
                <w:sz w:val="18"/>
                <w:szCs w:val="18"/>
                <w:vertAlign w:val="superscript"/>
                <w:lang w:val="en-US"/>
              </w:rPr>
              <w:t xml:space="preserve"> ***</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1.02</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0.98</w:t>
            </w:r>
            <w:r w:rsidRPr="00572AFE">
              <w:rPr>
                <w:sz w:val="18"/>
                <w:szCs w:val="18"/>
                <w:vertAlign w:val="superscript"/>
                <w:lang w:val="en-US"/>
              </w:rPr>
              <w:t>***</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(0.07)</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(0.07)</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(0.19)</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(0.22)</w:t>
            </w:r>
            <w:r w:rsidRPr="00572AFE">
              <w:rPr>
                <w:sz w:val="18"/>
                <w:szCs w:val="18"/>
                <w:vertAlign w:val="superscript"/>
                <w:lang w:val="en-US"/>
              </w:rPr>
              <w:t xml:space="preserve"> </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(0.12)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(0.11)</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Constant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-3.56</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-3.85</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-9.3</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-9.36</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-4.22</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-3.46</w:t>
            </w:r>
            <w:r w:rsidRPr="00572AFE">
              <w:rPr>
                <w:sz w:val="18"/>
                <w:szCs w:val="18"/>
                <w:vertAlign w:val="superscript"/>
                <w:lang w:val="en-US"/>
              </w:rPr>
              <w:t>**</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3.79</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2.74</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(0.43)</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(0.72)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(1.90)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(1.93)</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(1.40)</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(1.67)</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(5.02)</w:t>
            </w: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(5.16)</w:t>
            </w:r>
          </w:p>
        </w:tc>
      </w:tr>
      <w:tr w:rsidR="007E4EEE" w:rsidTr="00B01FC7">
        <w:tc>
          <w:tcPr>
            <w:tcW w:w="2518" w:type="dxa"/>
            <w:tcBorders>
              <w:top w:val="nil"/>
              <w:left w:val="nil"/>
              <w:bottom w:val="nil"/>
              <w:right w:val="nil"/>
            </w:tcBorders>
          </w:tcPr>
          <w:p w:rsidR="007E4EEE" w:rsidRPr="00572AFE" w:rsidRDefault="007E4EEE"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highlight w:val="yellow"/>
                <w:lang w:val="en-US"/>
              </w:rPr>
            </w:pPr>
          </w:p>
        </w:tc>
      </w:tr>
      <w:tr w:rsidR="007E4EEE" w:rsidTr="00B01FC7">
        <w:tc>
          <w:tcPr>
            <w:tcW w:w="2518" w:type="dxa"/>
            <w:tcBorders>
              <w:top w:val="nil"/>
              <w:left w:val="nil"/>
              <w:bottom w:val="nil"/>
              <w:right w:val="nil"/>
            </w:tcBorders>
          </w:tcPr>
          <w:p w:rsidR="007E4EEE" w:rsidRPr="007E4EEE" w:rsidRDefault="007E4EEE" w:rsidP="002F0517">
            <w:pPr>
              <w:widowControl w:val="0"/>
              <w:autoSpaceDE w:val="0"/>
              <w:autoSpaceDN w:val="0"/>
              <w:adjustRightInd w:val="0"/>
              <w:rPr>
                <w:i/>
                <w:sz w:val="18"/>
                <w:szCs w:val="18"/>
                <w:lang w:val="en-US"/>
              </w:rPr>
            </w:pPr>
            <w:r w:rsidRPr="007E4EEE">
              <w:rPr>
                <w:i/>
                <w:sz w:val="18"/>
                <w:szCs w:val="18"/>
                <w:lang w:val="en-US"/>
              </w:rPr>
              <w:t>Random effects parameters</w:t>
            </w: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FE6193"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FE6193"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FE6193" w:rsidRDefault="007E4EEE"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7E4EEE" w:rsidRPr="00FE6193" w:rsidRDefault="007E4EEE" w:rsidP="002F0517">
            <w:pPr>
              <w:widowControl w:val="0"/>
              <w:autoSpaceDE w:val="0"/>
              <w:autoSpaceDN w:val="0"/>
              <w:adjustRightInd w:val="0"/>
              <w:jc w:val="center"/>
              <w:rPr>
                <w:sz w:val="18"/>
                <w:szCs w:val="18"/>
                <w:lang w:val="en-US"/>
              </w:rPr>
            </w:pPr>
          </w:p>
        </w:tc>
      </w:tr>
      <w:tr w:rsidR="007E4EEE" w:rsidTr="00B01FC7">
        <w:tc>
          <w:tcPr>
            <w:tcW w:w="2518" w:type="dxa"/>
            <w:tcBorders>
              <w:top w:val="nil"/>
              <w:left w:val="nil"/>
              <w:bottom w:val="nil"/>
              <w:right w:val="nil"/>
            </w:tcBorders>
          </w:tcPr>
          <w:p w:rsidR="007E4EEE" w:rsidRPr="00572AFE" w:rsidRDefault="007E4EEE" w:rsidP="002F0517">
            <w:pPr>
              <w:widowControl w:val="0"/>
              <w:autoSpaceDE w:val="0"/>
              <w:autoSpaceDN w:val="0"/>
              <w:adjustRightInd w:val="0"/>
              <w:rPr>
                <w:sz w:val="18"/>
                <w:szCs w:val="18"/>
                <w:lang w:val="en-US"/>
              </w:rPr>
            </w:pPr>
            <w:r w:rsidRPr="007E4EEE">
              <w:rPr>
                <w:sz w:val="18"/>
                <w:szCs w:val="18"/>
                <w:lang w:val="en-US"/>
              </w:rPr>
              <w:t>Country-level variance</w:t>
            </w: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r>
              <w:rPr>
                <w:sz w:val="18"/>
                <w:szCs w:val="18"/>
                <w:lang w:val="en-US"/>
              </w:rPr>
              <w:t>0.07</w:t>
            </w: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r>
              <w:rPr>
                <w:sz w:val="18"/>
                <w:szCs w:val="18"/>
                <w:lang w:val="en-US"/>
              </w:rPr>
              <w:t>0.06</w:t>
            </w:r>
          </w:p>
        </w:tc>
        <w:tc>
          <w:tcPr>
            <w:tcW w:w="1010" w:type="dxa"/>
            <w:tcBorders>
              <w:top w:val="nil"/>
              <w:left w:val="nil"/>
              <w:bottom w:val="nil"/>
              <w:right w:val="nil"/>
            </w:tcBorders>
          </w:tcPr>
          <w:p w:rsidR="007E4EEE" w:rsidRPr="00572AFE" w:rsidRDefault="00FE6193" w:rsidP="002F0517">
            <w:pPr>
              <w:widowControl w:val="0"/>
              <w:autoSpaceDE w:val="0"/>
              <w:autoSpaceDN w:val="0"/>
              <w:adjustRightInd w:val="0"/>
              <w:jc w:val="center"/>
              <w:rPr>
                <w:sz w:val="18"/>
                <w:szCs w:val="18"/>
                <w:lang w:val="en-US"/>
              </w:rPr>
            </w:pPr>
            <w:r>
              <w:rPr>
                <w:sz w:val="18"/>
                <w:szCs w:val="18"/>
                <w:lang w:val="en-US"/>
              </w:rPr>
              <w:t>0.51</w:t>
            </w:r>
          </w:p>
        </w:tc>
        <w:tc>
          <w:tcPr>
            <w:tcW w:w="1010" w:type="dxa"/>
            <w:tcBorders>
              <w:top w:val="nil"/>
              <w:left w:val="nil"/>
              <w:bottom w:val="nil"/>
              <w:right w:val="nil"/>
            </w:tcBorders>
          </w:tcPr>
          <w:p w:rsidR="007E4EEE" w:rsidRPr="00572AFE" w:rsidRDefault="00FE6193" w:rsidP="002F0517">
            <w:pPr>
              <w:widowControl w:val="0"/>
              <w:autoSpaceDE w:val="0"/>
              <w:autoSpaceDN w:val="0"/>
              <w:adjustRightInd w:val="0"/>
              <w:jc w:val="center"/>
              <w:rPr>
                <w:sz w:val="18"/>
                <w:szCs w:val="18"/>
                <w:lang w:val="en-US"/>
              </w:rPr>
            </w:pPr>
            <w:r>
              <w:rPr>
                <w:sz w:val="18"/>
                <w:szCs w:val="18"/>
                <w:lang w:val="en-US"/>
              </w:rPr>
              <w:t>0.53</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0.20</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0.13</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0.06</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0.07</w:t>
            </w:r>
          </w:p>
        </w:tc>
      </w:tr>
      <w:tr w:rsidR="007E4EEE" w:rsidTr="00B01FC7">
        <w:tc>
          <w:tcPr>
            <w:tcW w:w="2518" w:type="dxa"/>
            <w:tcBorders>
              <w:top w:val="nil"/>
              <w:left w:val="nil"/>
              <w:bottom w:val="nil"/>
              <w:right w:val="nil"/>
            </w:tcBorders>
          </w:tcPr>
          <w:p w:rsidR="007E4EEE" w:rsidRPr="00572AFE" w:rsidRDefault="007E4EEE" w:rsidP="002F0517">
            <w:pPr>
              <w:widowControl w:val="0"/>
              <w:autoSpaceDE w:val="0"/>
              <w:autoSpaceDN w:val="0"/>
              <w:adjustRightInd w:val="0"/>
              <w:rPr>
                <w:sz w:val="18"/>
                <w:szCs w:val="18"/>
                <w:lang w:val="en-US"/>
              </w:rPr>
            </w:pPr>
            <w:r>
              <w:rPr>
                <w:sz w:val="18"/>
                <w:szCs w:val="18"/>
                <w:lang w:val="en-US"/>
              </w:rPr>
              <w:t>Proposal-level variance</w:t>
            </w:r>
          </w:p>
        </w:tc>
        <w:tc>
          <w:tcPr>
            <w:tcW w:w="1010" w:type="dxa"/>
            <w:tcBorders>
              <w:top w:val="nil"/>
              <w:left w:val="nil"/>
              <w:bottom w:val="nil"/>
              <w:right w:val="nil"/>
            </w:tcBorders>
          </w:tcPr>
          <w:p w:rsidR="007E4EEE" w:rsidRPr="00572AFE" w:rsidRDefault="007E4EEE" w:rsidP="002F0517">
            <w:pPr>
              <w:widowControl w:val="0"/>
              <w:autoSpaceDE w:val="0"/>
              <w:autoSpaceDN w:val="0"/>
              <w:adjustRightInd w:val="0"/>
              <w:jc w:val="center"/>
              <w:rPr>
                <w:sz w:val="18"/>
                <w:szCs w:val="18"/>
                <w:lang w:val="en-US"/>
              </w:rPr>
            </w:pPr>
            <w:r>
              <w:rPr>
                <w:sz w:val="18"/>
                <w:szCs w:val="18"/>
                <w:lang w:val="en-US"/>
              </w:rPr>
              <w:t>0.11</w:t>
            </w:r>
          </w:p>
        </w:tc>
        <w:tc>
          <w:tcPr>
            <w:tcW w:w="1010" w:type="dxa"/>
            <w:tcBorders>
              <w:top w:val="nil"/>
              <w:left w:val="nil"/>
              <w:bottom w:val="nil"/>
              <w:right w:val="nil"/>
            </w:tcBorders>
          </w:tcPr>
          <w:p w:rsidR="007E4EEE" w:rsidRPr="00572AFE" w:rsidRDefault="00FE6193" w:rsidP="002F0517">
            <w:pPr>
              <w:widowControl w:val="0"/>
              <w:autoSpaceDE w:val="0"/>
              <w:autoSpaceDN w:val="0"/>
              <w:adjustRightInd w:val="0"/>
              <w:jc w:val="center"/>
              <w:rPr>
                <w:sz w:val="18"/>
                <w:szCs w:val="18"/>
                <w:lang w:val="en-US"/>
              </w:rPr>
            </w:pPr>
            <w:r>
              <w:rPr>
                <w:sz w:val="18"/>
                <w:szCs w:val="18"/>
                <w:lang w:val="en-US"/>
              </w:rPr>
              <w:t>0.09</w:t>
            </w:r>
          </w:p>
        </w:tc>
        <w:tc>
          <w:tcPr>
            <w:tcW w:w="1010" w:type="dxa"/>
            <w:tcBorders>
              <w:top w:val="nil"/>
              <w:left w:val="nil"/>
              <w:bottom w:val="nil"/>
              <w:right w:val="nil"/>
            </w:tcBorders>
          </w:tcPr>
          <w:p w:rsidR="007E4EEE" w:rsidRPr="00572AFE" w:rsidRDefault="00FE6193" w:rsidP="002F0517">
            <w:pPr>
              <w:widowControl w:val="0"/>
              <w:autoSpaceDE w:val="0"/>
              <w:autoSpaceDN w:val="0"/>
              <w:adjustRightInd w:val="0"/>
              <w:jc w:val="center"/>
              <w:rPr>
                <w:sz w:val="18"/>
                <w:szCs w:val="18"/>
                <w:lang w:val="en-US"/>
              </w:rPr>
            </w:pPr>
            <w:r>
              <w:rPr>
                <w:sz w:val="18"/>
                <w:szCs w:val="18"/>
                <w:lang w:val="en-US"/>
              </w:rPr>
              <w:t>1.12</w:t>
            </w:r>
          </w:p>
        </w:tc>
        <w:tc>
          <w:tcPr>
            <w:tcW w:w="1010" w:type="dxa"/>
            <w:tcBorders>
              <w:top w:val="nil"/>
              <w:left w:val="nil"/>
              <w:bottom w:val="nil"/>
              <w:right w:val="nil"/>
            </w:tcBorders>
          </w:tcPr>
          <w:p w:rsidR="007E4EEE" w:rsidRPr="00572AFE" w:rsidRDefault="00FE6193" w:rsidP="002F0517">
            <w:pPr>
              <w:widowControl w:val="0"/>
              <w:autoSpaceDE w:val="0"/>
              <w:autoSpaceDN w:val="0"/>
              <w:adjustRightInd w:val="0"/>
              <w:jc w:val="center"/>
              <w:rPr>
                <w:sz w:val="18"/>
                <w:szCs w:val="18"/>
                <w:lang w:val="en-US"/>
              </w:rPr>
            </w:pPr>
            <w:r>
              <w:rPr>
                <w:sz w:val="18"/>
                <w:szCs w:val="18"/>
                <w:lang w:val="en-US"/>
              </w:rPr>
              <w:t>1.05</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0.42</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0.41</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0.86</w:t>
            </w:r>
          </w:p>
        </w:tc>
        <w:tc>
          <w:tcPr>
            <w:tcW w:w="1010" w:type="dxa"/>
            <w:tcBorders>
              <w:top w:val="nil"/>
              <w:left w:val="nil"/>
              <w:bottom w:val="nil"/>
              <w:right w:val="nil"/>
            </w:tcBorders>
          </w:tcPr>
          <w:p w:rsidR="007E4EEE" w:rsidRPr="00FE6193" w:rsidRDefault="00FE6193" w:rsidP="002F0517">
            <w:pPr>
              <w:widowControl w:val="0"/>
              <w:autoSpaceDE w:val="0"/>
              <w:autoSpaceDN w:val="0"/>
              <w:adjustRightInd w:val="0"/>
              <w:jc w:val="center"/>
              <w:rPr>
                <w:sz w:val="18"/>
                <w:szCs w:val="18"/>
                <w:lang w:val="en-US"/>
              </w:rPr>
            </w:pPr>
            <w:r w:rsidRPr="00FE6193">
              <w:rPr>
                <w:sz w:val="18"/>
                <w:szCs w:val="18"/>
                <w:lang w:val="en-US"/>
              </w:rPr>
              <w:t>0.76</w:t>
            </w:r>
          </w:p>
        </w:tc>
      </w:tr>
      <w:tr w:rsidR="00344317" w:rsidTr="00B01FC7">
        <w:tc>
          <w:tcPr>
            <w:tcW w:w="2518" w:type="dxa"/>
            <w:tcBorders>
              <w:top w:val="nil"/>
              <w:left w:val="nil"/>
              <w:bottom w:val="nil"/>
              <w:right w:val="nil"/>
            </w:tcBorders>
          </w:tcPr>
          <w:p w:rsidR="00344317" w:rsidRPr="00572AFE" w:rsidRDefault="00344317" w:rsidP="002F0517">
            <w:pPr>
              <w:widowControl w:val="0"/>
              <w:autoSpaceDE w:val="0"/>
              <w:autoSpaceDN w:val="0"/>
              <w:adjustRightInd w:val="0"/>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c>
          <w:tcPr>
            <w:tcW w:w="1010" w:type="dxa"/>
            <w:tcBorders>
              <w:top w:val="nil"/>
              <w:left w:val="nil"/>
              <w:bottom w:val="nil"/>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p>
        </w:tc>
      </w:tr>
      <w:tr w:rsidR="00344317" w:rsidTr="00B01FC7">
        <w:tc>
          <w:tcPr>
            <w:tcW w:w="2518" w:type="dxa"/>
            <w:tcBorders>
              <w:top w:val="single" w:sz="4" w:space="0" w:color="auto"/>
              <w:left w:val="nil"/>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Observations</w:t>
            </w:r>
          </w:p>
        </w:tc>
        <w:tc>
          <w:tcPr>
            <w:tcW w:w="1010" w:type="dxa"/>
            <w:tcBorders>
              <w:top w:val="single" w:sz="4" w:space="0" w:color="auto"/>
              <w:left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4045</w:t>
            </w:r>
          </w:p>
        </w:tc>
        <w:tc>
          <w:tcPr>
            <w:tcW w:w="1010" w:type="dxa"/>
            <w:tcBorders>
              <w:top w:val="single" w:sz="4" w:space="0" w:color="auto"/>
              <w:left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4045</w:t>
            </w:r>
          </w:p>
        </w:tc>
        <w:tc>
          <w:tcPr>
            <w:tcW w:w="1010" w:type="dxa"/>
            <w:tcBorders>
              <w:top w:val="single" w:sz="4" w:space="0" w:color="auto"/>
              <w:left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2454</w:t>
            </w:r>
          </w:p>
        </w:tc>
        <w:tc>
          <w:tcPr>
            <w:tcW w:w="1010" w:type="dxa"/>
            <w:tcBorders>
              <w:top w:val="single" w:sz="4" w:space="0" w:color="auto"/>
              <w:left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2454</w:t>
            </w:r>
          </w:p>
        </w:tc>
        <w:tc>
          <w:tcPr>
            <w:tcW w:w="1010" w:type="dxa"/>
            <w:tcBorders>
              <w:top w:val="single" w:sz="4" w:space="0" w:color="auto"/>
              <w:left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2919</w:t>
            </w:r>
          </w:p>
        </w:tc>
        <w:tc>
          <w:tcPr>
            <w:tcW w:w="1010" w:type="dxa"/>
            <w:tcBorders>
              <w:top w:val="single" w:sz="4" w:space="0" w:color="auto"/>
              <w:left w:val="nil"/>
              <w:right w:val="nil"/>
            </w:tcBorders>
            <w:shd w:val="clear" w:color="auto" w:fill="auto"/>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2919</w:t>
            </w:r>
          </w:p>
        </w:tc>
        <w:tc>
          <w:tcPr>
            <w:tcW w:w="1010" w:type="dxa"/>
            <w:tcBorders>
              <w:top w:val="single" w:sz="4" w:space="0" w:color="auto"/>
              <w:left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6786</w:t>
            </w:r>
          </w:p>
        </w:tc>
        <w:tc>
          <w:tcPr>
            <w:tcW w:w="1010" w:type="dxa"/>
            <w:tcBorders>
              <w:top w:val="single" w:sz="4" w:space="0" w:color="auto"/>
              <w:left w:val="nil"/>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6786</w:t>
            </w:r>
          </w:p>
        </w:tc>
      </w:tr>
      <w:tr w:rsidR="00344317" w:rsidRPr="00254101" w:rsidTr="00B01FC7">
        <w:tc>
          <w:tcPr>
            <w:tcW w:w="2518"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rPr>
                <w:sz w:val="18"/>
                <w:szCs w:val="18"/>
                <w:lang w:val="en-US"/>
              </w:rPr>
            </w:pPr>
            <w:r w:rsidRPr="00572AFE">
              <w:rPr>
                <w:sz w:val="18"/>
                <w:szCs w:val="18"/>
                <w:lang w:val="en-US"/>
              </w:rPr>
              <w:t>Log likelihood</w:t>
            </w:r>
          </w:p>
        </w:tc>
        <w:tc>
          <w:tcPr>
            <w:tcW w:w="1010"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highlight w:val="yellow"/>
                <w:lang w:val="en-US"/>
              </w:rPr>
            </w:pPr>
            <w:r w:rsidRPr="00572AFE">
              <w:rPr>
                <w:sz w:val="18"/>
                <w:szCs w:val="18"/>
                <w:lang w:val="en-US"/>
              </w:rPr>
              <w:t>-498.67</w:t>
            </w:r>
          </w:p>
        </w:tc>
        <w:tc>
          <w:tcPr>
            <w:tcW w:w="1010"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-497.63</w:t>
            </w:r>
          </w:p>
        </w:tc>
        <w:tc>
          <w:tcPr>
            <w:tcW w:w="1010"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-124.12</w:t>
            </w:r>
          </w:p>
        </w:tc>
        <w:tc>
          <w:tcPr>
            <w:tcW w:w="1010"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-122.68</w:t>
            </w:r>
          </w:p>
        </w:tc>
        <w:tc>
          <w:tcPr>
            <w:tcW w:w="1010"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-145.45</w:t>
            </w:r>
          </w:p>
        </w:tc>
        <w:tc>
          <w:tcPr>
            <w:tcW w:w="1010" w:type="dxa"/>
            <w:tcBorders>
              <w:top w:val="nil"/>
              <w:left w:val="nil"/>
              <w:bottom w:val="single" w:sz="4" w:space="0" w:color="auto"/>
              <w:right w:val="nil"/>
            </w:tcBorders>
            <w:shd w:val="clear" w:color="auto" w:fill="auto"/>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-143.60</w:t>
            </w:r>
          </w:p>
        </w:tc>
        <w:tc>
          <w:tcPr>
            <w:tcW w:w="1010"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-418.93</w:t>
            </w:r>
          </w:p>
        </w:tc>
        <w:tc>
          <w:tcPr>
            <w:tcW w:w="1010" w:type="dxa"/>
            <w:tcBorders>
              <w:top w:val="nil"/>
              <w:left w:val="nil"/>
              <w:bottom w:val="single" w:sz="4" w:space="0" w:color="auto"/>
              <w:right w:val="nil"/>
            </w:tcBorders>
          </w:tcPr>
          <w:p w:rsidR="00344317" w:rsidRPr="00572AFE" w:rsidRDefault="00344317" w:rsidP="002F0517">
            <w:pPr>
              <w:widowControl w:val="0"/>
              <w:autoSpaceDE w:val="0"/>
              <w:autoSpaceDN w:val="0"/>
              <w:adjustRightInd w:val="0"/>
              <w:jc w:val="center"/>
              <w:rPr>
                <w:sz w:val="18"/>
                <w:szCs w:val="18"/>
                <w:lang w:val="en-US"/>
              </w:rPr>
            </w:pPr>
            <w:r w:rsidRPr="00572AFE">
              <w:rPr>
                <w:sz w:val="18"/>
                <w:szCs w:val="18"/>
                <w:lang w:val="en-US"/>
              </w:rPr>
              <w:t>-415.33</w:t>
            </w:r>
          </w:p>
        </w:tc>
      </w:tr>
    </w:tbl>
    <w:p w:rsidR="00344317" w:rsidRDefault="00344317" w:rsidP="00344317">
      <w:pPr>
        <w:spacing w:after="200" w:line="276" w:lineRule="auto"/>
        <w:rPr>
          <w:lang w:val="en-GB"/>
        </w:rPr>
      </w:pPr>
      <w:r>
        <w:rPr>
          <w:lang w:val="en-GB"/>
        </w:rPr>
        <w:br w:type="page"/>
      </w:r>
      <w:r>
        <w:rPr>
          <w:lang w:val="en-GB"/>
        </w:rPr>
        <w:lastRenderedPageBreak/>
        <w:t>In table A</w:t>
      </w:r>
      <w:r w:rsidR="00B01FC7">
        <w:rPr>
          <w:lang w:val="en-GB"/>
        </w:rPr>
        <w:t>7</w:t>
      </w:r>
      <w:r>
        <w:rPr>
          <w:lang w:val="en-GB"/>
        </w:rPr>
        <w:t xml:space="preserve"> we tested whether governments’ ideological positions on environmental protection and tax vs. spending are interacted with </w:t>
      </w:r>
      <w:proofErr w:type="spellStart"/>
      <w:r>
        <w:rPr>
          <w:lang w:val="en-GB"/>
        </w:rPr>
        <w:t>SOx</w:t>
      </w:r>
      <w:proofErr w:type="spellEnd"/>
      <w:r>
        <w:rPr>
          <w:lang w:val="en-GB"/>
        </w:rPr>
        <w:t xml:space="preserve"> emissions and GDP per capita respectively. The results are not statistically significant.</w:t>
      </w:r>
    </w:p>
    <w:p w:rsidR="00344317" w:rsidRDefault="00B01FC7" w:rsidP="00344317">
      <w:pPr>
        <w:spacing w:after="200" w:line="276" w:lineRule="auto"/>
        <w:rPr>
          <w:lang w:val="en-GB"/>
        </w:rPr>
      </w:pPr>
      <w:r>
        <w:rPr>
          <w:lang w:val="en-GB"/>
        </w:rPr>
        <w:t>Table A7</w:t>
      </w:r>
      <w:r w:rsidR="00344317">
        <w:rPr>
          <w:lang w:val="en-GB"/>
        </w:rPr>
        <w:t xml:space="preserve"> </w:t>
      </w:r>
      <w:r w:rsidR="00344317">
        <w:rPr>
          <w:lang w:val="en-US"/>
        </w:rPr>
        <w:t>Voting against the majority in the Council by policy sector 2004-09,</w:t>
      </w:r>
      <w:r w:rsidR="00344317">
        <w:rPr>
          <w:lang w:val="en-GB"/>
        </w:rPr>
        <w:t xml:space="preserve"> multilevel logistic regression</w:t>
      </w:r>
    </w:p>
    <w:tbl>
      <w:tblPr>
        <w:tblW w:w="9039" w:type="dxa"/>
        <w:tblLayout w:type="fixed"/>
        <w:tblLook w:val="0000" w:firstRow="0" w:lastRow="0" w:firstColumn="0" w:lastColumn="0" w:noHBand="0" w:noVBand="0"/>
      </w:tblPr>
      <w:tblGrid>
        <w:gridCol w:w="4361"/>
        <w:gridCol w:w="2410"/>
        <w:gridCol w:w="2268"/>
      </w:tblGrid>
      <w:tr w:rsidR="00344317" w:rsidTr="002F0517">
        <w:tc>
          <w:tcPr>
            <w:tcW w:w="4361" w:type="dxa"/>
            <w:tcBorders>
              <w:top w:val="single" w:sz="4" w:space="0" w:color="auto"/>
              <w:left w:val="nil"/>
              <w:bottom w:val="single" w:sz="4" w:space="0" w:color="auto"/>
              <w:right w:val="nil"/>
            </w:tcBorders>
          </w:tcPr>
          <w:p w:rsidR="00344317" w:rsidRPr="00897710" w:rsidRDefault="00344317" w:rsidP="002F0517">
            <w:pPr>
              <w:widowControl w:val="0"/>
              <w:autoSpaceDE w:val="0"/>
              <w:autoSpaceDN w:val="0"/>
              <w:adjustRightInd w:val="0"/>
              <w:rPr>
                <w:sz w:val="20"/>
                <w:szCs w:val="20"/>
                <w:lang w:val="en-GB"/>
              </w:rPr>
            </w:pPr>
          </w:p>
        </w:tc>
        <w:tc>
          <w:tcPr>
            <w:tcW w:w="2410" w:type="dxa"/>
            <w:tcBorders>
              <w:top w:val="single" w:sz="4" w:space="0" w:color="auto"/>
              <w:left w:val="nil"/>
              <w:bottom w:val="single" w:sz="4" w:space="0" w:color="auto"/>
              <w:right w:val="nil"/>
            </w:tcBorders>
          </w:tcPr>
          <w:p w:rsidR="00344317" w:rsidRPr="00D8299D" w:rsidRDefault="00344317" w:rsidP="002F0517">
            <w:pPr>
              <w:widowControl w:val="0"/>
              <w:autoSpaceDE w:val="0"/>
              <w:autoSpaceDN w:val="0"/>
              <w:adjustRightInd w:val="0"/>
              <w:jc w:val="center"/>
              <w:rPr>
                <w:sz w:val="20"/>
                <w:szCs w:val="20"/>
                <w:lang w:val="en-US"/>
              </w:rPr>
            </w:pPr>
            <w:r w:rsidRPr="00D8299D">
              <w:rPr>
                <w:sz w:val="20"/>
                <w:szCs w:val="20"/>
                <w:lang w:val="en-US"/>
              </w:rPr>
              <w:t>Environmental</w:t>
            </w:r>
          </w:p>
        </w:tc>
        <w:tc>
          <w:tcPr>
            <w:tcW w:w="2268" w:type="dxa"/>
            <w:tcBorders>
              <w:top w:val="single" w:sz="4" w:space="0" w:color="auto"/>
              <w:left w:val="nil"/>
              <w:bottom w:val="single" w:sz="4" w:space="0" w:color="auto"/>
              <w:right w:val="nil"/>
            </w:tcBorders>
          </w:tcPr>
          <w:p w:rsidR="00344317" w:rsidRPr="00D8299D" w:rsidRDefault="00344317" w:rsidP="002F0517">
            <w:pPr>
              <w:widowControl w:val="0"/>
              <w:autoSpaceDE w:val="0"/>
              <w:autoSpaceDN w:val="0"/>
              <w:adjustRightInd w:val="0"/>
              <w:jc w:val="center"/>
              <w:rPr>
                <w:sz w:val="20"/>
                <w:szCs w:val="20"/>
                <w:lang w:val="en-US"/>
              </w:rPr>
            </w:pPr>
            <w:r w:rsidRPr="00D8299D">
              <w:rPr>
                <w:sz w:val="20"/>
                <w:szCs w:val="20"/>
                <w:lang w:val="en-US"/>
              </w:rPr>
              <w:t>Economic</w:t>
            </w:r>
          </w:p>
        </w:tc>
      </w:tr>
      <w:tr w:rsidR="00344317" w:rsidTr="002F0517">
        <w:tc>
          <w:tcPr>
            <w:tcW w:w="4361" w:type="dxa"/>
            <w:tcBorders>
              <w:top w:val="single" w:sz="4" w:space="0" w:color="auto"/>
              <w:left w:val="nil"/>
              <w:bottom w:val="nil"/>
              <w:right w:val="nil"/>
            </w:tcBorders>
          </w:tcPr>
          <w:p w:rsidR="00344317" w:rsidRPr="003163D5" w:rsidRDefault="00344317" w:rsidP="002F0517">
            <w:pPr>
              <w:widowControl w:val="0"/>
              <w:autoSpaceDE w:val="0"/>
              <w:autoSpaceDN w:val="0"/>
              <w:adjustRightInd w:val="0"/>
              <w:rPr>
                <w:sz w:val="20"/>
                <w:szCs w:val="20"/>
                <w:lang w:val="en-US"/>
              </w:rPr>
            </w:pPr>
            <w:r w:rsidRPr="003163D5">
              <w:rPr>
                <w:sz w:val="20"/>
                <w:szCs w:val="20"/>
                <w:lang w:val="en-US"/>
              </w:rPr>
              <w:t>Ratio EU Spend./Contrib. (log)</w:t>
            </w:r>
          </w:p>
        </w:tc>
        <w:tc>
          <w:tcPr>
            <w:tcW w:w="2410" w:type="dxa"/>
            <w:tcBorders>
              <w:top w:val="single" w:sz="4" w:space="0" w:color="auto"/>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-0.69</w:t>
            </w:r>
            <w:r w:rsidRPr="003F5B9C">
              <w:rPr>
                <w:sz w:val="20"/>
                <w:szCs w:val="20"/>
                <w:vertAlign w:val="superscript"/>
                <w:lang w:val="en-US"/>
              </w:rPr>
              <w:t>**</w:t>
            </w:r>
          </w:p>
        </w:tc>
        <w:tc>
          <w:tcPr>
            <w:tcW w:w="2268" w:type="dxa"/>
            <w:tcBorders>
              <w:top w:val="single" w:sz="4" w:space="0" w:color="auto"/>
              <w:left w:val="nil"/>
              <w:bottom w:val="nil"/>
              <w:right w:val="nil"/>
            </w:tcBorders>
            <w:shd w:val="clear" w:color="auto" w:fill="auto"/>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-0.70</w:t>
            </w:r>
            <w:r w:rsidRPr="003F5B9C">
              <w:rPr>
                <w:sz w:val="20"/>
                <w:szCs w:val="20"/>
                <w:vertAlign w:val="superscript"/>
                <w:lang w:val="en-US"/>
              </w:rPr>
              <w:t>***</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(0.35)</w:t>
            </w:r>
          </w:p>
        </w:tc>
        <w:tc>
          <w:tcPr>
            <w:tcW w:w="2268" w:type="dxa"/>
            <w:tcBorders>
              <w:top w:val="nil"/>
              <w:left w:val="nil"/>
              <w:bottom w:val="nil"/>
              <w:right w:val="nil"/>
            </w:tcBorders>
            <w:shd w:val="clear" w:color="auto" w:fill="auto"/>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(0.22)</w:t>
            </w:r>
          </w:p>
        </w:tc>
      </w:tr>
      <w:tr w:rsidR="00344317" w:rsidTr="002F0517">
        <w:trPr>
          <w:trHeight w:val="305"/>
        </w:trPr>
        <w:tc>
          <w:tcPr>
            <w:tcW w:w="4361" w:type="dxa"/>
            <w:tcBorders>
              <w:top w:val="nil"/>
              <w:left w:val="nil"/>
              <w:bottom w:val="nil"/>
              <w:right w:val="nil"/>
            </w:tcBorders>
          </w:tcPr>
          <w:p w:rsidR="00344317" w:rsidRPr="006756AE" w:rsidRDefault="00344317" w:rsidP="002F0517">
            <w:pPr>
              <w:widowControl w:val="0"/>
              <w:autoSpaceDE w:val="0"/>
              <w:autoSpaceDN w:val="0"/>
              <w:adjustRightInd w:val="0"/>
              <w:rPr>
                <w:sz w:val="20"/>
                <w:szCs w:val="20"/>
                <w:lang w:val="fr-CH"/>
              </w:rPr>
            </w:pPr>
            <w:proofErr w:type="spellStart"/>
            <w:r>
              <w:rPr>
                <w:sz w:val="20"/>
                <w:szCs w:val="20"/>
                <w:lang w:val="fr-CH"/>
              </w:rPr>
              <w:t>Gov</w:t>
            </w:r>
            <w:proofErr w:type="spellEnd"/>
            <w:r>
              <w:rPr>
                <w:sz w:val="20"/>
                <w:szCs w:val="20"/>
                <w:lang w:val="fr-CH"/>
              </w:rPr>
              <w:t xml:space="preserve">. </w:t>
            </w:r>
            <w:r w:rsidRPr="006756AE">
              <w:rPr>
                <w:sz w:val="20"/>
                <w:szCs w:val="20"/>
                <w:lang w:val="fr-CH"/>
              </w:rPr>
              <w:t xml:space="preserve">pos. on </w:t>
            </w:r>
            <w:proofErr w:type="spellStart"/>
            <w:r w:rsidRPr="006756AE">
              <w:rPr>
                <w:sz w:val="20"/>
                <w:szCs w:val="20"/>
                <w:lang w:val="fr-CH"/>
              </w:rPr>
              <w:t>environment</w:t>
            </w:r>
            <w:proofErr w:type="spellEnd"/>
            <w:r w:rsidRPr="006756AE">
              <w:rPr>
                <w:sz w:val="20"/>
                <w:szCs w:val="20"/>
                <w:lang w:val="fr-CH"/>
              </w:rPr>
              <w:t xml:space="preserve"> protection</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-0.04</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(0.60)</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roofErr w:type="spellStart"/>
            <w:r w:rsidRPr="00D8299D">
              <w:rPr>
                <w:sz w:val="20"/>
                <w:szCs w:val="20"/>
                <w:lang w:val="en-US"/>
              </w:rPr>
              <w:t>S</w:t>
            </w:r>
            <w:r>
              <w:rPr>
                <w:sz w:val="20"/>
                <w:szCs w:val="20"/>
                <w:lang w:val="en-US"/>
              </w:rPr>
              <w:t>O</w:t>
            </w:r>
            <w:r w:rsidRPr="00D8299D">
              <w:rPr>
                <w:sz w:val="20"/>
                <w:szCs w:val="20"/>
                <w:lang w:val="en-US"/>
              </w:rPr>
              <w:t>x</w:t>
            </w:r>
            <w:proofErr w:type="spellEnd"/>
            <w:r>
              <w:rPr>
                <w:sz w:val="20"/>
                <w:szCs w:val="20"/>
                <w:lang w:val="en-US"/>
              </w:rPr>
              <w:t xml:space="preserve"> emissions </w:t>
            </w:r>
            <w:r w:rsidRPr="00D8299D">
              <w:rPr>
                <w:sz w:val="20"/>
                <w:szCs w:val="20"/>
                <w:lang w:val="en-US"/>
              </w:rPr>
              <w:t>per</w:t>
            </w:r>
            <w:r>
              <w:rPr>
                <w:sz w:val="20"/>
                <w:szCs w:val="20"/>
                <w:lang w:val="en-US"/>
              </w:rPr>
              <w:t xml:space="preserve"> </w:t>
            </w:r>
            <w:r w:rsidRPr="00D8299D">
              <w:rPr>
                <w:sz w:val="20"/>
                <w:szCs w:val="20"/>
                <w:lang w:val="en-US"/>
              </w:rPr>
              <w:t>cap</w:t>
            </w:r>
            <w:r>
              <w:rPr>
                <w:sz w:val="20"/>
                <w:szCs w:val="20"/>
                <w:lang w:val="en-US"/>
              </w:rPr>
              <w:t xml:space="preserve"> (log)</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1.18</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(1.73)</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Tr="002F0517">
        <w:tc>
          <w:tcPr>
            <w:tcW w:w="4361" w:type="dxa"/>
            <w:tcBorders>
              <w:top w:val="nil"/>
              <w:left w:val="nil"/>
              <w:bottom w:val="nil"/>
              <w:right w:val="nil"/>
            </w:tcBorders>
          </w:tcPr>
          <w:p w:rsidR="00344317" w:rsidRPr="00EA6F26" w:rsidRDefault="00344317" w:rsidP="002F0517">
            <w:pPr>
              <w:widowControl w:val="0"/>
              <w:autoSpaceDE w:val="0"/>
              <w:autoSpaceDN w:val="0"/>
              <w:adjustRightInd w:val="0"/>
              <w:rPr>
                <w:sz w:val="20"/>
                <w:szCs w:val="20"/>
                <w:lang w:val="fr-CH"/>
              </w:rPr>
            </w:pPr>
            <w:proofErr w:type="spellStart"/>
            <w:r w:rsidRPr="00EA6F26">
              <w:rPr>
                <w:sz w:val="20"/>
                <w:szCs w:val="20"/>
                <w:lang w:val="fr-CH"/>
              </w:rPr>
              <w:t>SOx</w:t>
            </w:r>
            <w:proofErr w:type="spellEnd"/>
            <w:r w:rsidRPr="00EA6F26">
              <w:rPr>
                <w:sz w:val="20"/>
                <w:szCs w:val="20"/>
                <w:lang w:val="fr-CH"/>
              </w:rPr>
              <w:t xml:space="preserve"> </w:t>
            </w:r>
            <w:proofErr w:type="spellStart"/>
            <w:r w:rsidRPr="00EA6F26">
              <w:rPr>
                <w:sz w:val="20"/>
                <w:szCs w:val="20"/>
                <w:lang w:val="fr-CH"/>
              </w:rPr>
              <w:t>emission</w:t>
            </w:r>
            <w:proofErr w:type="spellEnd"/>
            <w:r w:rsidRPr="00EA6F26">
              <w:rPr>
                <w:sz w:val="20"/>
                <w:szCs w:val="20"/>
                <w:lang w:val="fr-CH"/>
              </w:rPr>
              <w:t xml:space="preserve"> x </w:t>
            </w:r>
            <w:proofErr w:type="spellStart"/>
            <w:r w:rsidRPr="00EA6F26">
              <w:rPr>
                <w:sz w:val="20"/>
                <w:szCs w:val="20"/>
                <w:lang w:val="fr-CH"/>
              </w:rPr>
              <w:t>gov</w:t>
            </w:r>
            <w:proofErr w:type="spellEnd"/>
            <w:r w:rsidRPr="00EA6F26">
              <w:rPr>
                <w:sz w:val="20"/>
                <w:szCs w:val="20"/>
                <w:lang w:val="fr-CH"/>
              </w:rPr>
              <w:t xml:space="preserve">. pos. </w:t>
            </w:r>
            <w:proofErr w:type="spellStart"/>
            <w:r w:rsidRPr="00EA6F26">
              <w:rPr>
                <w:sz w:val="20"/>
                <w:szCs w:val="20"/>
                <w:lang w:val="fr-CH"/>
              </w:rPr>
              <w:t>environment</w:t>
            </w:r>
            <w:proofErr w:type="spellEnd"/>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-0.05</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Tr="002F0517">
        <w:tc>
          <w:tcPr>
            <w:tcW w:w="4361" w:type="dxa"/>
            <w:tcBorders>
              <w:top w:val="nil"/>
              <w:left w:val="nil"/>
              <w:bottom w:val="nil"/>
              <w:right w:val="nil"/>
            </w:tcBorders>
          </w:tcPr>
          <w:p w:rsidR="00344317" w:rsidRPr="003163D5"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(0.14)</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Tr="002F0517">
        <w:tc>
          <w:tcPr>
            <w:tcW w:w="4361" w:type="dxa"/>
            <w:tcBorders>
              <w:top w:val="nil"/>
              <w:left w:val="nil"/>
              <w:bottom w:val="nil"/>
              <w:right w:val="nil"/>
            </w:tcBorders>
          </w:tcPr>
          <w:p w:rsidR="00344317" w:rsidRPr="003163D5"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RPr="002044B1"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Gov. position on tax vs. spending</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w:t>
            </w:r>
            <w:r>
              <w:rPr>
                <w:sz w:val="20"/>
                <w:szCs w:val="20"/>
                <w:lang w:val="en-US"/>
              </w:rPr>
              <w:t>87</w:t>
            </w:r>
          </w:p>
        </w:tc>
      </w:tr>
      <w:tr w:rsidR="00344317" w:rsidRPr="002044B1"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(1</w:t>
            </w:r>
            <w:r w:rsidRPr="003F5B9C">
              <w:rPr>
                <w:sz w:val="20"/>
                <w:szCs w:val="20"/>
                <w:lang w:val="en-US"/>
              </w:rPr>
              <w:t>.</w:t>
            </w:r>
            <w:r>
              <w:rPr>
                <w:sz w:val="20"/>
                <w:szCs w:val="20"/>
                <w:lang w:val="en-US"/>
              </w:rPr>
              <w:t>11</w:t>
            </w:r>
            <w:r w:rsidRPr="003F5B9C">
              <w:rPr>
                <w:sz w:val="20"/>
                <w:szCs w:val="20"/>
                <w:lang w:val="en-US"/>
              </w:rPr>
              <w:t>)</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sidRPr="003163D5">
              <w:rPr>
                <w:sz w:val="20"/>
                <w:szCs w:val="20"/>
                <w:lang w:val="en-US"/>
              </w:rPr>
              <w:t>GDP per cap (log)</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w:t>
            </w:r>
            <w:r>
              <w:rPr>
                <w:sz w:val="20"/>
                <w:szCs w:val="20"/>
                <w:lang w:val="en-US"/>
              </w:rPr>
              <w:t>06</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(1</w:t>
            </w:r>
            <w:r w:rsidRPr="003F5B9C">
              <w:rPr>
                <w:sz w:val="20"/>
                <w:szCs w:val="20"/>
                <w:lang w:val="en-US"/>
              </w:rPr>
              <w:t>.</w:t>
            </w:r>
            <w:r>
              <w:rPr>
                <w:sz w:val="20"/>
                <w:szCs w:val="20"/>
                <w:lang w:val="en-US"/>
              </w:rPr>
              <w:t>38</w:t>
            </w:r>
            <w:r w:rsidRPr="003F5B9C">
              <w:rPr>
                <w:sz w:val="20"/>
                <w:szCs w:val="20"/>
                <w:lang w:val="en-US"/>
              </w:rPr>
              <w:t>)</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 xml:space="preserve">Gov. pos. on tax vs. spending x </w:t>
            </w:r>
            <w:r w:rsidRPr="003163D5">
              <w:rPr>
                <w:sz w:val="20"/>
                <w:szCs w:val="20"/>
                <w:lang w:val="en-US"/>
              </w:rPr>
              <w:t>GDP per cap (log)</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-0.09</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(0.11)</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QMV</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-0.7</w:t>
            </w:r>
            <w:r>
              <w:rPr>
                <w:sz w:val="20"/>
                <w:szCs w:val="20"/>
                <w:lang w:val="en-US"/>
              </w:rPr>
              <w:t>6</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1.36</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(1.11)</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(1.03)</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President</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-1.52</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(1.03</w:t>
            </w:r>
            <w:r w:rsidRPr="003F5B9C">
              <w:rPr>
                <w:sz w:val="20"/>
                <w:szCs w:val="20"/>
                <w:lang w:val="en-US"/>
              </w:rPr>
              <w:t>)</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Commissioner</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0.57</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(0.48)</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Other dissenting votes</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1.28</w:t>
            </w:r>
            <w:r w:rsidRPr="003F5B9C">
              <w:rPr>
                <w:sz w:val="20"/>
                <w:szCs w:val="20"/>
                <w:vertAlign w:val="superscript"/>
                <w:lang w:val="en-US"/>
              </w:rPr>
              <w:t xml:space="preserve"> ***</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0.98</w:t>
            </w:r>
            <w:r w:rsidRPr="003F5B9C">
              <w:rPr>
                <w:sz w:val="20"/>
                <w:szCs w:val="20"/>
                <w:vertAlign w:val="superscript"/>
                <w:lang w:val="en-US"/>
              </w:rPr>
              <w:t>***</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(0.22)</w:t>
            </w:r>
            <w:r w:rsidRPr="003F5B9C">
              <w:rPr>
                <w:sz w:val="20"/>
                <w:szCs w:val="20"/>
                <w:vertAlign w:val="superscript"/>
                <w:lang w:val="en-US"/>
              </w:rPr>
              <w:t xml:space="preserve"> </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(0.11)</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sidRPr="00D8299D">
              <w:rPr>
                <w:sz w:val="20"/>
                <w:szCs w:val="20"/>
                <w:lang w:val="en-US"/>
              </w:rPr>
              <w:t>Constant</w:t>
            </w: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w:t>
            </w:r>
            <w:r>
              <w:rPr>
                <w:sz w:val="20"/>
                <w:szCs w:val="20"/>
                <w:lang w:val="en-US"/>
              </w:rPr>
              <w:t>2</w:t>
            </w:r>
            <w:r w:rsidRPr="003F5B9C">
              <w:rPr>
                <w:sz w:val="20"/>
                <w:szCs w:val="20"/>
                <w:lang w:val="en-US"/>
              </w:rPr>
              <w:t>.0</w:t>
            </w:r>
            <w:r>
              <w:rPr>
                <w:sz w:val="20"/>
                <w:szCs w:val="20"/>
                <w:lang w:val="en-US"/>
              </w:rPr>
              <w:t>2</w:t>
            </w:r>
            <w:r w:rsidRPr="003F5B9C">
              <w:rPr>
                <w:sz w:val="20"/>
                <w:szCs w:val="20"/>
                <w:vertAlign w:val="superscript"/>
                <w:lang w:val="en-US"/>
              </w:rPr>
              <w:t>**</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Pr>
                <w:sz w:val="20"/>
                <w:szCs w:val="20"/>
                <w:lang w:val="en-US"/>
              </w:rPr>
              <w:t>-7</w:t>
            </w:r>
            <w:r w:rsidRPr="003F5B9C">
              <w:rPr>
                <w:sz w:val="20"/>
                <w:szCs w:val="20"/>
                <w:lang w:val="en-US"/>
              </w:rPr>
              <w:t>.</w:t>
            </w:r>
            <w:r>
              <w:rPr>
                <w:sz w:val="20"/>
                <w:szCs w:val="20"/>
                <w:lang w:val="en-US"/>
              </w:rPr>
              <w:t>21</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w:t>
            </w:r>
            <w:r>
              <w:rPr>
                <w:sz w:val="20"/>
                <w:szCs w:val="20"/>
                <w:lang w:val="en-US"/>
              </w:rPr>
              <w:t>7</w:t>
            </w:r>
            <w:r w:rsidRPr="003F5B9C">
              <w:rPr>
                <w:sz w:val="20"/>
                <w:szCs w:val="20"/>
                <w:lang w:val="en-US"/>
              </w:rPr>
              <w:t>.</w:t>
            </w:r>
            <w:r>
              <w:rPr>
                <w:sz w:val="20"/>
                <w:szCs w:val="20"/>
                <w:lang w:val="en-US"/>
              </w:rPr>
              <w:t>36</w:t>
            </w:r>
            <w:r w:rsidRPr="003F5B9C">
              <w:rPr>
                <w:sz w:val="20"/>
                <w:szCs w:val="20"/>
                <w:lang w:val="en-US"/>
              </w:rPr>
              <w:t>)</w:t>
            </w: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r w:rsidRPr="003F5B9C">
              <w:rPr>
                <w:sz w:val="20"/>
                <w:szCs w:val="20"/>
                <w:lang w:val="en-US"/>
              </w:rPr>
              <w:t>(</w:t>
            </w:r>
            <w:r>
              <w:rPr>
                <w:sz w:val="20"/>
                <w:szCs w:val="20"/>
                <w:lang w:val="en-US"/>
              </w:rPr>
              <w:t>14</w:t>
            </w:r>
            <w:r w:rsidRPr="003F5B9C">
              <w:rPr>
                <w:sz w:val="20"/>
                <w:szCs w:val="20"/>
                <w:lang w:val="en-US"/>
              </w:rPr>
              <w:t>.</w:t>
            </w:r>
            <w:r>
              <w:rPr>
                <w:sz w:val="20"/>
                <w:szCs w:val="20"/>
                <w:lang w:val="en-US"/>
              </w:rPr>
              <w:t>00</w:t>
            </w:r>
            <w:r w:rsidRPr="003F5B9C">
              <w:rPr>
                <w:sz w:val="20"/>
                <w:szCs w:val="20"/>
                <w:lang w:val="en-US"/>
              </w:rPr>
              <w:t>)</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p>
        </w:tc>
        <w:tc>
          <w:tcPr>
            <w:tcW w:w="2410"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c>
          <w:tcPr>
            <w:tcW w:w="2268" w:type="dxa"/>
            <w:tcBorders>
              <w:top w:val="nil"/>
              <w:left w:val="nil"/>
              <w:bottom w:val="nil"/>
              <w:right w:val="nil"/>
            </w:tcBorders>
          </w:tcPr>
          <w:p w:rsidR="00344317" w:rsidRPr="003F5B9C" w:rsidRDefault="00344317" w:rsidP="002F0517">
            <w:pPr>
              <w:widowControl w:val="0"/>
              <w:autoSpaceDE w:val="0"/>
              <w:autoSpaceDN w:val="0"/>
              <w:adjustRightInd w:val="0"/>
              <w:jc w:val="center"/>
              <w:rPr>
                <w:sz w:val="20"/>
                <w:szCs w:val="20"/>
                <w:lang w:val="en-US"/>
              </w:rPr>
            </w:pPr>
          </w:p>
        </w:tc>
      </w:tr>
      <w:tr w:rsidR="00344317" w:rsidTr="002F0517">
        <w:tc>
          <w:tcPr>
            <w:tcW w:w="4361" w:type="dxa"/>
            <w:tcBorders>
              <w:top w:val="nil"/>
              <w:left w:val="nil"/>
              <w:bottom w:val="nil"/>
              <w:right w:val="nil"/>
            </w:tcBorders>
          </w:tcPr>
          <w:p w:rsidR="00344317" w:rsidRPr="00B25300" w:rsidRDefault="00344317" w:rsidP="002F0517">
            <w:pPr>
              <w:widowControl w:val="0"/>
              <w:autoSpaceDE w:val="0"/>
              <w:autoSpaceDN w:val="0"/>
              <w:adjustRightInd w:val="0"/>
              <w:rPr>
                <w:i/>
                <w:sz w:val="20"/>
                <w:szCs w:val="20"/>
                <w:lang w:val="en-US"/>
              </w:rPr>
            </w:pPr>
            <w:r w:rsidRPr="00B25300">
              <w:rPr>
                <w:i/>
                <w:sz w:val="20"/>
                <w:szCs w:val="20"/>
                <w:lang w:val="en-US"/>
              </w:rPr>
              <w:t>Random effects parameters</w:t>
            </w:r>
          </w:p>
        </w:tc>
        <w:tc>
          <w:tcPr>
            <w:tcW w:w="2410" w:type="dxa"/>
            <w:tcBorders>
              <w:top w:val="nil"/>
              <w:left w:val="nil"/>
              <w:bottom w:val="nil"/>
              <w:right w:val="nil"/>
            </w:tcBorders>
          </w:tcPr>
          <w:p w:rsidR="00344317" w:rsidRPr="00F51471" w:rsidRDefault="00344317" w:rsidP="002F0517">
            <w:pPr>
              <w:widowControl w:val="0"/>
              <w:autoSpaceDE w:val="0"/>
              <w:autoSpaceDN w:val="0"/>
              <w:adjustRightInd w:val="0"/>
              <w:jc w:val="center"/>
              <w:rPr>
                <w:sz w:val="20"/>
                <w:szCs w:val="20"/>
                <w:highlight w:val="yellow"/>
                <w:lang w:val="en-US"/>
              </w:rPr>
            </w:pPr>
          </w:p>
        </w:tc>
        <w:tc>
          <w:tcPr>
            <w:tcW w:w="2268" w:type="dxa"/>
            <w:tcBorders>
              <w:top w:val="nil"/>
              <w:left w:val="nil"/>
              <w:bottom w:val="nil"/>
              <w:right w:val="nil"/>
            </w:tcBorders>
          </w:tcPr>
          <w:p w:rsidR="00344317" w:rsidRPr="00F51471" w:rsidRDefault="00344317" w:rsidP="002F0517">
            <w:pPr>
              <w:widowControl w:val="0"/>
              <w:autoSpaceDE w:val="0"/>
              <w:autoSpaceDN w:val="0"/>
              <w:adjustRightInd w:val="0"/>
              <w:jc w:val="center"/>
              <w:rPr>
                <w:sz w:val="20"/>
                <w:szCs w:val="20"/>
                <w:highlight w:val="yellow"/>
                <w:lang w:val="en-US"/>
              </w:rPr>
            </w:pP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Country-level variance</w:t>
            </w:r>
          </w:p>
        </w:tc>
        <w:tc>
          <w:tcPr>
            <w:tcW w:w="2410" w:type="dxa"/>
            <w:tcBorders>
              <w:top w:val="nil"/>
              <w:left w:val="nil"/>
              <w:bottom w:val="nil"/>
              <w:right w:val="nil"/>
            </w:tcBorders>
          </w:tcPr>
          <w:p w:rsidR="00344317" w:rsidRPr="00924B84" w:rsidRDefault="00344317" w:rsidP="002F0517">
            <w:pPr>
              <w:widowControl w:val="0"/>
              <w:autoSpaceDE w:val="0"/>
              <w:autoSpaceDN w:val="0"/>
              <w:adjustRightInd w:val="0"/>
              <w:jc w:val="center"/>
              <w:rPr>
                <w:sz w:val="20"/>
                <w:szCs w:val="20"/>
                <w:lang w:val="en-US"/>
              </w:rPr>
            </w:pPr>
            <w:r w:rsidRPr="00924B84">
              <w:rPr>
                <w:sz w:val="20"/>
                <w:szCs w:val="20"/>
                <w:lang w:val="en-US"/>
              </w:rPr>
              <w:t>0.</w:t>
            </w:r>
            <w:r>
              <w:rPr>
                <w:sz w:val="20"/>
                <w:szCs w:val="20"/>
                <w:lang w:val="en-US"/>
              </w:rPr>
              <w:t>20</w:t>
            </w:r>
          </w:p>
        </w:tc>
        <w:tc>
          <w:tcPr>
            <w:tcW w:w="2268" w:type="dxa"/>
            <w:tcBorders>
              <w:top w:val="nil"/>
              <w:left w:val="nil"/>
              <w:bottom w:val="nil"/>
              <w:right w:val="nil"/>
            </w:tcBorders>
          </w:tcPr>
          <w:p w:rsidR="00344317" w:rsidRPr="00DC39EE" w:rsidRDefault="00344317" w:rsidP="002F0517">
            <w:pPr>
              <w:widowControl w:val="0"/>
              <w:autoSpaceDE w:val="0"/>
              <w:autoSpaceDN w:val="0"/>
              <w:adjustRightInd w:val="0"/>
              <w:jc w:val="center"/>
              <w:rPr>
                <w:sz w:val="20"/>
                <w:szCs w:val="20"/>
                <w:lang w:val="en-US"/>
              </w:rPr>
            </w:pPr>
            <w:r>
              <w:rPr>
                <w:sz w:val="20"/>
                <w:szCs w:val="20"/>
                <w:lang w:val="en-US"/>
              </w:rPr>
              <w:t>0.06</w:t>
            </w:r>
          </w:p>
        </w:tc>
      </w:tr>
      <w:tr w:rsidR="00344317" w:rsidTr="002F0517">
        <w:tc>
          <w:tcPr>
            <w:tcW w:w="4361" w:type="dxa"/>
            <w:tcBorders>
              <w:top w:val="nil"/>
              <w:left w:val="nil"/>
              <w:bottom w:val="nil"/>
              <w:right w:val="nil"/>
            </w:tcBorders>
          </w:tcPr>
          <w:p w:rsidR="00344317" w:rsidRPr="00D8299D" w:rsidRDefault="00344317" w:rsidP="002F0517">
            <w:pPr>
              <w:widowControl w:val="0"/>
              <w:autoSpaceDE w:val="0"/>
              <w:autoSpaceDN w:val="0"/>
              <w:adjustRightInd w:val="0"/>
              <w:rPr>
                <w:sz w:val="20"/>
                <w:szCs w:val="20"/>
                <w:lang w:val="en-US"/>
              </w:rPr>
            </w:pPr>
            <w:r>
              <w:rPr>
                <w:sz w:val="20"/>
                <w:szCs w:val="20"/>
                <w:lang w:val="en-US"/>
              </w:rPr>
              <w:t>Proposal-level variance</w:t>
            </w:r>
          </w:p>
        </w:tc>
        <w:tc>
          <w:tcPr>
            <w:tcW w:w="2410" w:type="dxa"/>
            <w:tcBorders>
              <w:top w:val="nil"/>
              <w:left w:val="nil"/>
              <w:bottom w:val="nil"/>
              <w:right w:val="nil"/>
            </w:tcBorders>
          </w:tcPr>
          <w:p w:rsidR="00344317" w:rsidRPr="00924B84" w:rsidRDefault="00344317" w:rsidP="002F0517">
            <w:pPr>
              <w:widowControl w:val="0"/>
              <w:autoSpaceDE w:val="0"/>
              <w:autoSpaceDN w:val="0"/>
              <w:adjustRightInd w:val="0"/>
              <w:jc w:val="center"/>
              <w:rPr>
                <w:sz w:val="20"/>
                <w:szCs w:val="20"/>
                <w:lang w:val="en-US"/>
              </w:rPr>
            </w:pPr>
            <w:r w:rsidRPr="00924B84">
              <w:rPr>
                <w:sz w:val="20"/>
                <w:szCs w:val="20"/>
                <w:lang w:val="en-US"/>
              </w:rPr>
              <w:t>0.4</w:t>
            </w:r>
            <w:r>
              <w:rPr>
                <w:sz w:val="20"/>
                <w:szCs w:val="20"/>
                <w:lang w:val="en-US"/>
              </w:rPr>
              <w:t>3</w:t>
            </w:r>
          </w:p>
        </w:tc>
        <w:tc>
          <w:tcPr>
            <w:tcW w:w="2268" w:type="dxa"/>
            <w:tcBorders>
              <w:top w:val="nil"/>
              <w:left w:val="nil"/>
              <w:bottom w:val="nil"/>
              <w:right w:val="nil"/>
            </w:tcBorders>
          </w:tcPr>
          <w:p w:rsidR="00344317" w:rsidRPr="00DC39EE" w:rsidRDefault="00344317" w:rsidP="002F0517">
            <w:pPr>
              <w:widowControl w:val="0"/>
              <w:autoSpaceDE w:val="0"/>
              <w:autoSpaceDN w:val="0"/>
              <w:adjustRightInd w:val="0"/>
              <w:jc w:val="center"/>
              <w:rPr>
                <w:sz w:val="20"/>
                <w:szCs w:val="20"/>
                <w:lang w:val="en-US"/>
              </w:rPr>
            </w:pPr>
            <w:r w:rsidRPr="00DC39EE">
              <w:rPr>
                <w:sz w:val="20"/>
                <w:szCs w:val="20"/>
                <w:lang w:val="en-US"/>
              </w:rPr>
              <w:t>0.76</w:t>
            </w:r>
          </w:p>
        </w:tc>
      </w:tr>
      <w:tr w:rsidR="00344317" w:rsidTr="002F0517">
        <w:tc>
          <w:tcPr>
            <w:tcW w:w="4361" w:type="dxa"/>
            <w:tcBorders>
              <w:top w:val="single" w:sz="4" w:space="0" w:color="auto"/>
              <w:left w:val="nil"/>
              <w:right w:val="nil"/>
            </w:tcBorders>
          </w:tcPr>
          <w:p w:rsidR="00344317" w:rsidRPr="00D8299D" w:rsidRDefault="00344317" w:rsidP="002F0517">
            <w:pPr>
              <w:widowControl w:val="0"/>
              <w:autoSpaceDE w:val="0"/>
              <w:autoSpaceDN w:val="0"/>
              <w:adjustRightInd w:val="0"/>
              <w:rPr>
                <w:sz w:val="20"/>
                <w:szCs w:val="20"/>
                <w:lang w:val="en-US"/>
              </w:rPr>
            </w:pPr>
            <w:r w:rsidRPr="00D8299D">
              <w:rPr>
                <w:sz w:val="20"/>
                <w:szCs w:val="20"/>
                <w:lang w:val="en-US"/>
              </w:rPr>
              <w:t>Observations</w:t>
            </w:r>
          </w:p>
        </w:tc>
        <w:tc>
          <w:tcPr>
            <w:tcW w:w="2410" w:type="dxa"/>
            <w:tcBorders>
              <w:top w:val="single" w:sz="4" w:space="0" w:color="auto"/>
              <w:left w:val="nil"/>
              <w:right w:val="nil"/>
            </w:tcBorders>
            <w:shd w:val="clear" w:color="auto" w:fill="auto"/>
          </w:tcPr>
          <w:p w:rsidR="00344317" w:rsidRPr="00924B84" w:rsidRDefault="00344317" w:rsidP="002F0517">
            <w:pPr>
              <w:widowControl w:val="0"/>
              <w:autoSpaceDE w:val="0"/>
              <w:autoSpaceDN w:val="0"/>
              <w:adjustRightInd w:val="0"/>
              <w:jc w:val="center"/>
              <w:rPr>
                <w:sz w:val="20"/>
                <w:szCs w:val="20"/>
                <w:lang w:val="en-US"/>
              </w:rPr>
            </w:pPr>
            <w:r w:rsidRPr="00924B84">
              <w:rPr>
                <w:sz w:val="20"/>
                <w:szCs w:val="20"/>
                <w:lang w:val="en-US"/>
              </w:rPr>
              <w:t>2919</w:t>
            </w:r>
          </w:p>
        </w:tc>
        <w:tc>
          <w:tcPr>
            <w:tcW w:w="2268" w:type="dxa"/>
            <w:tcBorders>
              <w:top w:val="single" w:sz="4" w:space="0" w:color="auto"/>
              <w:left w:val="nil"/>
              <w:right w:val="nil"/>
            </w:tcBorders>
          </w:tcPr>
          <w:p w:rsidR="00344317" w:rsidRPr="002044B1" w:rsidRDefault="00344317" w:rsidP="002F0517">
            <w:pPr>
              <w:widowControl w:val="0"/>
              <w:autoSpaceDE w:val="0"/>
              <w:autoSpaceDN w:val="0"/>
              <w:adjustRightInd w:val="0"/>
              <w:jc w:val="center"/>
              <w:rPr>
                <w:sz w:val="20"/>
                <w:szCs w:val="20"/>
                <w:lang w:val="en-US"/>
              </w:rPr>
            </w:pPr>
            <w:r w:rsidRPr="002044B1">
              <w:rPr>
                <w:sz w:val="20"/>
                <w:szCs w:val="20"/>
                <w:lang w:val="en-US"/>
              </w:rPr>
              <w:t>6786</w:t>
            </w:r>
          </w:p>
        </w:tc>
      </w:tr>
      <w:tr w:rsidR="00344317" w:rsidRPr="00254101" w:rsidTr="002F0517">
        <w:tc>
          <w:tcPr>
            <w:tcW w:w="4361" w:type="dxa"/>
            <w:tcBorders>
              <w:top w:val="nil"/>
              <w:left w:val="nil"/>
              <w:bottom w:val="single" w:sz="4" w:space="0" w:color="auto"/>
              <w:right w:val="nil"/>
            </w:tcBorders>
          </w:tcPr>
          <w:p w:rsidR="00344317" w:rsidRPr="00F51471" w:rsidRDefault="00344317" w:rsidP="002F0517">
            <w:pPr>
              <w:widowControl w:val="0"/>
              <w:autoSpaceDE w:val="0"/>
              <w:autoSpaceDN w:val="0"/>
              <w:adjustRightInd w:val="0"/>
              <w:rPr>
                <w:sz w:val="20"/>
                <w:szCs w:val="20"/>
                <w:lang w:val="en-US"/>
              </w:rPr>
            </w:pPr>
            <w:r w:rsidRPr="00F51471">
              <w:rPr>
                <w:sz w:val="20"/>
                <w:szCs w:val="20"/>
                <w:lang w:val="en-US"/>
              </w:rPr>
              <w:t>Log likelihood</w:t>
            </w:r>
          </w:p>
        </w:tc>
        <w:tc>
          <w:tcPr>
            <w:tcW w:w="2410" w:type="dxa"/>
            <w:tcBorders>
              <w:top w:val="nil"/>
              <w:left w:val="nil"/>
              <w:bottom w:val="single" w:sz="4" w:space="0" w:color="auto"/>
              <w:right w:val="nil"/>
            </w:tcBorders>
            <w:shd w:val="clear" w:color="auto" w:fill="auto"/>
          </w:tcPr>
          <w:p w:rsidR="00344317" w:rsidRPr="00924B84" w:rsidRDefault="00344317" w:rsidP="002F0517">
            <w:pPr>
              <w:widowControl w:val="0"/>
              <w:autoSpaceDE w:val="0"/>
              <w:autoSpaceDN w:val="0"/>
              <w:adjustRightInd w:val="0"/>
              <w:jc w:val="center"/>
              <w:rPr>
                <w:sz w:val="20"/>
                <w:szCs w:val="20"/>
                <w:lang w:val="en-US"/>
              </w:rPr>
            </w:pPr>
            <w:r w:rsidRPr="00924B84">
              <w:rPr>
                <w:sz w:val="20"/>
                <w:szCs w:val="20"/>
                <w:lang w:val="en-US"/>
              </w:rPr>
              <w:t>-14</w:t>
            </w:r>
            <w:r>
              <w:rPr>
                <w:sz w:val="20"/>
                <w:szCs w:val="20"/>
                <w:lang w:val="en-US"/>
              </w:rPr>
              <w:t>5</w:t>
            </w:r>
            <w:r w:rsidRPr="00924B84">
              <w:rPr>
                <w:sz w:val="20"/>
                <w:szCs w:val="20"/>
                <w:lang w:val="en-US"/>
              </w:rPr>
              <w:t>.</w:t>
            </w:r>
            <w:r>
              <w:rPr>
                <w:sz w:val="20"/>
                <w:szCs w:val="20"/>
                <w:lang w:val="en-US"/>
              </w:rPr>
              <w:t>02</w:t>
            </w:r>
          </w:p>
        </w:tc>
        <w:tc>
          <w:tcPr>
            <w:tcW w:w="2268" w:type="dxa"/>
            <w:tcBorders>
              <w:top w:val="nil"/>
              <w:left w:val="nil"/>
              <w:bottom w:val="single" w:sz="4" w:space="0" w:color="auto"/>
              <w:right w:val="nil"/>
            </w:tcBorders>
          </w:tcPr>
          <w:p w:rsidR="00344317" w:rsidRPr="002044B1" w:rsidRDefault="00344317" w:rsidP="002F0517">
            <w:pPr>
              <w:widowControl w:val="0"/>
              <w:autoSpaceDE w:val="0"/>
              <w:autoSpaceDN w:val="0"/>
              <w:adjustRightInd w:val="0"/>
              <w:jc w:val="center"/>
              <w:rPr>
                <w:sz w:val="20"/>
                <w:szCs w:val="20"/>
                <w:lang w:val="en-US"/>
              </w:rPr>
            </w:pPr>
            <w:r>
              <w:rPr>
                <w:sz w:val="20"/>
                <w:szCs w:val="20"/>
                <w:lang w:val="en-US"/>
              </w:rPr>
              <w:t>-415.02</w:t>
            </w:r>
          </w:p>
        </w:tc>
      </w:tr>
    </w:tbl>
    <w:p w:rsidR="00400876" w:rsidRDefault="00400876" w:rsidP="006260FE"/>
    <w:sectPr w:rsidR="00400876" w:rsidSect="00D77DD2">
      <w:headerReference w:type="even" r:id="rId9"/>
      <w:footerReference w:type="default" r:id="rId10"/>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3E6" w:rsidRDefault="00C973E6">
      <w:r>
        <w:separator/>
      </w:r>
    </w:p>
  </w:endnote>
  <w:endnote w:type="continuationSeparator" w:id="0">
    <w:p w:rsidR="00C973E6" w:rsidRDefault="00C97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E5" w:rsidRDefault="009636E5">
    <w:pPr>
      <w:pStyle w:val="Footer"/>
      <w:jc w:val="center"/>
    </w:pPr>
    <w:r>
      <w:fldChar w:fldCharType="begin"/>
    </w:r>
    <w:r>
      <w:instrText xml:space="preserve"> PAGE   \* MERGEFORMAT </w:instrText>
    </w:r>
    <w:r>
      <w:fldChar w:fldCharType="separate"/>
    </w:r>
    <w:r w:rsidR="007435C2">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3E6" w:rsidRDefault="00C973E6">
      <w:r>
        <w:separator/>
      </w:r>
    </w:p>
  </w:footnote>
  <w:footnote w:type="continuationSeparator" w:id="0">
    <w:p w:rsidR="00C973E6" w:rsidRDefault="00C97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E5" w:rsidRDefault="009636E5" w:rsidP="002F051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36E5" w:rsidRDefault="009636E5" w:rsidP="002F0517">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E1F04"/>
    <w:multiLevelType w:val="hybridMultilevel"/>
    <w:tmpl w:val="8A989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FA676A"/>
    <w:multiLevelType w:val="multilevel"/>
    <w:tmpl w:val="4280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931D5D"/>
    <w:multiLevelType w:val="multilevel"/>
    <w:tmpl w:val="4746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317"/>
    <w:rsid w:val="0019102C"/>
    <w:rsid w:val="001A4E1A"/>
    <w:rsid w:val="001C146D"/>
    <w:rsid w:val="001D7831"/>
    <w:rsid w:val="00254378"/>
    <w:rsid w:val="002F0517"/>
    <w:rsid w:val="002F66B5"/>
    <w:rsid w:val="00314317"/>
    <w:rsid w:val="00344317"/>
    <w:rsid w:val="00354078"/>
    <w:rsid w:val="00382F13"/>
    <w:rsid w:val="003867C0"/>
    <w:rsid w:val="00400876"/>
    <w:rsid w:val="00497596"/>
    <w:rsid w:val="00572AFE"/>
    <w:rsid w:val="00581F0A"/>
    <w:rsid w:val="00593DFA"/>
    <w:rsid w:val="006260FE"/>
    <w:rsid w:val="007435C2"/>
    <w:rsid w:val="00771BF6"/>
    <w:rsid w:val="007D2956"/>
    <w:rsid w:val="007E4EEE"/>
    <w:rsid w:val="00854884"/>
    <w:rsid w:val="0087761D"/>
    <w:rsid w:val="0088322D"/>
    <w:rsid w:val="008A7D1E"/>
    <w:rsid w:val="008F0B12"/>
    <w:rsid w:val="008F595A"/>
    <w:rsid w:val="009636E5"/>
    <w:rsid w:val="009F4159"/>
    <w:rsid w:val="00A41C75"/>
    <w:rsid w:val="00B01FC7"/>
    <w:rsid w:val="00B13C38"/>
    <w:rsid w:val="00B976BE"/>
    <w:rsid w:val="00C17CBD"/>
    <w:rsid w:val="00C973E6"/>
    <w:rsid w:val="00C975C6"/>
    <w:rsid w:val="00CC50C9"/>
    <w:rsid w:val="00D77DD2"/>
    <w:rsid w:val="00E00A99"/>
    <w:rsid w:val="00E04F1F"/>
    <w:rsid w:val="00E82B33"/>
    <w:rsid w:val="00EB51AF"/>
    <w:rsid w:val="00EC54A9"/>
    <w:rsid w:val="00F42549"/>
    <w:rsid w:val="00F62860"/>
    <w:rsid w:val="00F86948"/>
    <w:rsid w:val="00FA160A"/>
    <w:rsid w:val="00FE61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317"/>
    <w:pPr>
      <w:spacing w:after="0" w:line="240" w:lineRule="auto"/>
    </w:pPr>
    <w:rPr>
      <w:rFonts w:ascii="Times New Roman" w:eastAsia="SimSun" w:hAnsi="Times New Roman" w:cs="Times New Roman"/>
      <w:sz w:val="24"/>
      <w:szCs w:val="24"/>
      <w:lang w:val="de-DE" w:eastAsia="zh-CN"/>
    </w:rPr>
  </w:style>
  <w:style w:type="paragraph" w:styleId="Heading1">
    <w:name w:val="heading 1"/>
    <w:basedOn w:val="Normal"/>
    <w:next w:val="Normal"/>
    <w:link w:val="Heading1Char"/>
    <w:autoRedefine/>
    <w:qFormat/>
    <w:rsid w:val="00F62860"/>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autoRedefine/>
    <w:unhideWhenUsed/>
    <w:qFormat/>
    <w:rsid w:val="00F62860"/>
    <w:pPr>
      <w:keepNext/>
      <w:keepLines/>
      <w:spacing w:before="200"/>
      <w:outlineLvl w:val="1"/>
    </w:pPr>
    <w:rPr>
      <w:rFonts w:eastAsiaTheme="majorEastAsia" w:cstheme="majorBidi"/>
      <w:b/>
      <w:bCs/>
      <w:sz w:val="26"/>
      <w:szCs w:val="26"/>
    </w:rPr>
  </w:style>
  <w:style w:type="paragraph" w:styleId="Heading3">
    <w:name w:val="heading 3"/>
    <w:basedOn w:val="Normal"/>
    <w:link w:val="Heading3Char"/>
    <w:qFormat/>
    <w:rsid w:val="0034431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2860"/>
    <w:rPr>
      <w:rFonts w:eastAsiaTheme="majorEastAsia" w:cstheme="majorBidi"/>
      <w:b/>
      <w:bCs/>
      <w:sz w:val="28"/>
      <w:szCs w:val="28"/>
      <w:lang w:val="de-DE"/>
    </w:rPr>
  </w:style>
  <w:style w:type="character" w:customStyle="1" w:styleId="Heading2Char">
    <w:name w:val="Heading 2 Char"/>
    <w:basedOn w:val="DefaultParagraphFont"/>
    <w:link w:val="Heading2"/>
    <w:rsid w:val="00F62860"/>
    <w:rPr>
      <w:rFonts w:eastAsiaTheme="majorEastAsia" w:cstheme="majorBidi"/>
      <w:b/>
      <w:bCs/>
      <w:sz w:val="26"/>
      <w:szCs w:val="26"/>
      <w:lang w:val="de-DE"/>
    </w:rPr>
  </w:style>
  <w:style w:type="character" w:customStyle="1" w:styleId="Heading3Char">
    <w:name w:val="Heading 3 Char"/>
    <w:basedOn w:val="DefaultParagraphFont"/>
    <w:link w:val="Heading3"/>
    <w:rsid w:val="00344317"/>
    <w:rPr>
      <w:rFonts w:ascii="Times New Roman" w:eastAsia="SimSun" w:hAnsi="Times New Roman" w:cs="Times New Roman"/>
      <w:b/>
      <w:bCs/>
      <w:sz w:val="27"/>
      <w:szCs w:val="27"/>
      <w:lang w:val="de-DE" w:eastAsia="zh-CN"/>
    </w:rPr>
  </w:style>
  <w:style w:type="paragraph" w:styleId="Header">
    <w:name w:val="header"/>
    <w:basedOn w:val="Normal"/>
    <w:link w:val="HeaderChar"/>
    <w:rsid w:val="00344317"/>
    <w:pPr>
      <w:tabs>
        <w:tab w:val="center" w:pos="4536"/>
        <w:tab w:val="right" w:pos="9072"/>
      </w:tabs>
    </w:pPr>
  </w:style>
  <w:style w:type="character" w:customStyle="1" w:styleId="HeaderChar">
    <w:name w:val="Header Char"/>
    <w:basedOn w:val="DefaultParagraphFont"/>
    <w:link w:val="Header"/>
    <w:rsid w:val="00344317"/>
    <w:rPr>
      <w:rFonts w:ascii="Times New Roman" w:eastAsia="SimSun" w:hAnsi="Times New Roman" w:cs="Times New Roman"/>
      <w:sz w:val="24"/>
      <w:szCs w:val="24"/>
      <w:lang w:val="de-DE" w:eastAsia="zh-CN"/>
    </w:rPr>
  </w:style>
  <w:style w:type="character" w:styleId="PageNumber">
    <w:name w:val="page number"/>
    <w:basedOn w:val="DefaultParagraphFont"/>
    <w:rsid w:val="00344317"/>
  </w:style>
  <w:style w:type="character" w:styleId="Emphasis">
    <w:name w:val="Emphasis"/>
    <w:qFormat/>
    <w:rsid w:val="00344317"/>
    <w:rPr>
      <w:i/>
      <w:iCs/>
    </w:rPr>
  </w:style>
  <w:style w:type="paragraph" w:styleId="NormalWeb">
    <w:name w:val="Normal (Web)"/>
    <w:basedOn w:val="Normal"/>
    <w:rsid w:val="00344317"/>
    <w:pPr>
      <w:spacing w:before="100" w:beforeAutospacing="1" w:after="100" w:afterAutospacing="1"/>
    </w:pPr>
  </w:style>
  <w:style w:type="paragraph" w:styleId="BalloonText">
    <w:name w:val="Balloon Text"/>
    <w:basedOn w:val="Normal"/>
    <w:link w:val="BalloonTextChar"/>
    <w:rsid w:val="00344317"/>
    <w:rPr>
      <w:rFonts w:ascii="Lucida Grande" w:hAnsi="Lucida Grande"/>
      <w:sz w:val="18"/>
      <w:szCs w:val="18"/>
    </w:rPr>
  </w:style>
  <w:style w:type="character" w:customStyle="1" w:styleId="BalloonTextChar">
    <w:name w:val="Balloon Text Char"/>
    <w:basedOn w:val="DefaultParagraphFont"/>
    <w:link w:val="BalloonText"/>
    <w:rsid w:val="00344317"/>
    <w:rPr>
      <w:rFonts w:ascii="Lucida Grande" w:eastAsia="SimSun" w:hAnsi="Lucida Grande" w:cs="Times New Roman"/>
      <w:sz w:val="18"/>
      <w:szCs w:val="18"/>
      <w:lang w:val="de-DE" w:eastAsia="zh-CN"/>
    </w:rPr>
  </w:style>
  <w:style w:type="character" w:styleId="CommentReference">
    <w:name w:val="annotation reference"/>
    <w:rsid w:val="00344317"/>
    <w:rPr>
      <w:sz w:val="18"/>
      <w:szCs w:val="18"/>
    </w:rPr>
  </w:style>
  <w:style w:type="paragraph" w:styleId="CommentText">
    <w:name w:val="annotation text"/>
    <w:basedOn w:val="Normal"/>
    <w:link w:val="CommentTextChar"/>
    <w:rsid w:val="00344317"/>
  </w:style>
  <w:style w:type="character" w:customStyle="1" w:styleId="CommentTextChar">
    <w:name w:val="Comment Text Char"/>
    <w:basedOn w:val="DefaultParagraphFont"/>
    <w:link w:val="CommentText"/>
    <w:rsid w:val="00344317"/>
    <w:rPr>
      <w:rFonts w:ascii="Times New Roman" w:eastAsia="SimSun" w:hAnsi="Times New Roman" w:cs="Times New Roman"/>
      <w:sz w:val="24"/>
      <w:szCs w:val="24"/>
      <w:lang w:val="de-DE" w:eastAsia="zh-CN"/>
    </w:rPr>
  </w:style>
  <w:style w:type="paragraph" w:styleId="CommentSubject">
    <w:name w:val="annotation subject"/>
    <w:basedOn w:val="CommentText"/>
    <w:next w:val="CommentText"/>
    <w:link w:val="CommentSubjectChar"/>
    <w:rsid w:val="00344317"/>
    <w:rPr>
      <w:b/>
      <w:bCs/>
    </w:rPr>
  </w:style>
  <w:style w:type="character" w:customStyle="1" w:styleId="CommentSubjectChar">
    <w:name w:val="Comment Subject Char"/>
    <w:basedOn w:val="CommentTextChar"/>
    <w:link w:val="CommentSubject"/>
    <w:rsid w:val="00344317"/>
    <w:rPr>
      <w:rFonts w:ascii="Times New Roman" w:eastAsia="SimSun" w:hAnsi="Times New Roman" w:cs="Times New Roman"/>
      <w:b/>
      <w:bCs/>
      <w:sz w:val="24"/>
      <w:szCs w:val="24"/>
      <w:lang w:val="de-DE" w:eastAsia="zh-CN"/>
    </w:rPr>
  </w:style>
  <w:style w:type="paragraph" w:styleId="FootnoteText">
    <w:name w:val="footnote text"/>
    <w:basedOn w:val="Normal"/>
    <w:link w:val="FootnoteTextChar"/>
    <w:uiPriority w:val="99"/>
    <w:semiHidden/>
    <w:rsid w:val="00344317"/>
    <w:rPr>
      <w:sz w:val="20"/>
      <w:szCs w:val="20"/>
    </w:rPr>
  </w:style>
  <w:style w:type="character" w:customStyle="1" w:styleId="FootnoteTextChar">
    <w:name w:val="Footnote Text Char"/>
    <w:basedOn w:val="DefaultParagraphFont"/>
    <w:link w:val="FootnoteText"/>
    <w:uiPriority w:val="99"/>
    <w:semiHidden/>
    <w:rsid w:val="00344317"/>
    <w:rPr>
      <w:rFonts w:ascii="Times New Roman" w:eastAsia="SimSun" w:hAnsi="Times New Roman" w:cs="Times New Roman"/>
      <w:sz w:val="20"/>
      <w:szCs w:val="20"/>
      <w:lang w:val="de-DE" w:eastAsia="zh-CN"/>
    </w:rPr>
  </w:style>
  <w:style w:type="character" w:styleId="FootnoteReference">
    <w:name w:val="footnote reference"/>
    <w:uiPriority w:val="99"/>
    <w:semiHidden/>
    <w:rsid w:val="00344317"/>
    <w:rPr>
      <w:vertAlign w:val="superscript"/>
    </w:rPr>
  </w:style>
  <w:style w:type="character" w:styleId="Hyperlink">
    <w:name w:val="Hyperlink"/>
    <w:rsid w:val="00344317"/>
    <w:rPr>
      <w:color w:val="0000FF"/>
      <w:u w:val="single"/>
    </w:rPr>
  </w:style>
  <w:style w:type="paragraph" w:customStyle="1" w:styleId="StandardohneEinzug">
    <w:name w:val="StandardohneEinzug"/>
    <w:basedOn w:val="Normal"/>
    <w:autoRedefine/>
    <w:rsid w:val="00344317"/>
    <w:pPr>
      <w:spacing w:line="360" w:lineRule="auto"/>
    </w:pPr>
    <w:rPr>
      <w:rFonts w:ascii="Garamond" w:eastAsia="Times New Roman" w:hAnsi="Garamond"/>
      <w:lang w:eastAsia="en-US"/>
    </w:rPr>
  </w:style>
  <w:style w:type="paragraph" w:customStyle="1" w:styleId="TextkrperPaper">
    <w:name w:val="TextkörperPaper"/>
    <w:basedOn w:val="Normal"/>
    <w:rsid w:val="00344317"/>
    <w:pPr>
      <w:overflowPunct w:val="0"/>
      <w:autoSpaceDE w:val="0"/>
      <w:autoSpaceDN w:val="0"/>
      <w:adjustRightInd w:val="0"/>
      <w:spacing w:after="120" w:line="360" w:lineRule="auto"/>
      <w:ind w:firstLine="709"/>
      <w:textAlignment w:val="baseline"/>
    </w:pPr>
    <w:rPr>
      <w:rFonts w:ascii="Garamond" w:eastAsia="Times New Roman" w:hAnsi="Garamond"/>
      <w:lang w:val="en-GB" w:eastAsia="de-DE"/>
    </w:rPr>
  </w:style>
  <w:style w:type="character" w:styleId="Strong">
    <w:name w:val="Strong"/>
    <w:qFormat/>
    <w:rsid w:val="00344317"/>
    <w:rPr>
      <w:b/>
      <w:bCs/>
    </w:rPr>
  </w:style>
  <w:style w:type="character" w:styleId="HTMLCite">
    <w:name w:val="HTML Cite"/>
    <w:rsid w:val="00344317"/>
    <w:rPr>
      <w:i/>
      <w:iCs/>
    </w:rPr>
  </w:style>
  <w:style w:type="paragraph" w:styleId="HTMLAddress">
    <w:name w:val="HTML Address"/>
    <w:basedOn w:val="Normal"/>
    <w:link w:val="HTMLAddressChar"/>
    <w:uiPriority w:val="99"/>
    <w:unhideWhenUsed/>
    <w:rsid w:val="00344317"/>
    <w:rPr>
      <w:rFonts w:eastAsia="Times New Roman"/>
      <w:i/>
      <w:iCs/>
      <w:lang w:val="x-none" w:eastAsia="x-none"/>
    </w:rPr>
  </w:style>
  <w:style w:type="character" w:customStyle="1" w:styleId="HTMLAddressChar">
    <w:name w:val="HTML Address Char"/>
    <w:basedOn w:val="DefaultParagraphFont"/>
    <w:link w:val="HTMLAddress"/>
    <w:uiPriority w:val="99"/>
    <w:rsid w:val="00344317"/>
    <w:rPr>
      <w:rFonts w:ascii="Times New Roman" w:eastAsia="Times New Roman" w:hAnsi="Times New Roman" w:cs="Times New Roman"/>
      <w:i/>
      <w:iCs/>
      <w:sz w:val="24"/>
      <w:szCs w:val="24"/>
      <w:lang w:val="x-none" w:eastAsia="x-none"/>
    </w:rPr>
  </w:style>
  <w:style w:type="paragraph" w:customStyle="1" w:styleId="PaperFirstParagraph">
    <w:name w:val="PaperFirstParagraph"/>
    <w:basedOn w:val="Normal"/>
    <w:link w:val="PaperFirstParagraphChar"/>
    <w:autoRedefine/>
    <w:qFormat/>
    <w:rsid w:val="00344317"/>
    <w:pPr>
      <w:spacing w:line="480" w:lineRule="auto"/>
    </w:pPr>
    <w:rPr>
      <w:lang w:val="en-GB"/>
    </w:rPr>
  </w:style>
  <w:style w:type="paragraph" w:customStyle="1" w:styleId="PaperParagraph">
    <w:name w:val="PaperParagraph"/>
    <w:basedOn w:val="Normal"/>
    <w:link w:val="PaperParagraphChar"/>
    <w:autoRedefine/>
    <w:qFormat/>
    <w:rsid w:val="00344317"/>
    <w:pPr>
      <w:spacing w:line="480" w:lineRule="auto"/>
      <w:ind w:firstLine="709"/>
    </w:pPr>
    <w:rPr>
      <w:lang w:val="en-GB"/>
    </w:rPr>
  </w:style>
  <w:style w:type="character" w:customStyle="1" w:styleId="PaperFirstParagraphChar">
    <w:name w:val="PaperFirstParagraph Char"/>
    <w:link w:val="PaperFirstParagraph"/>
    <w:rsid w:val="00344317"/>
    <w:rPr>
      <w:rFonts w:ascii="Times New Roman" w:eastAsia="SimSun" w:hAnsi="Times New Roman" w:cs="Times New Roman"/>
      <w:sz w:val="24"/>
      <w:szCs w:val="24"/>
      <w:lang w:val="en-GB" w:eastAsia="zh-CN"/>
    </w:rPr>
  </w:style>
  <w:style w:type="table" w:styleId="TableGrid">
    <w:name w:val="Table Grid"/>
    <w:basedOn w:val="TableNormal"/>
    <w:rsid w:val="00344317"/>
    <w:pPr>
      <w:spacing w:after="0" w:line="240" w:lineRule="auto"/>
    </w:pPr>
    <w:rPr>
      <w:rFonts w:ascii="Times New Roman" w:eastAsia="SimSun" w:hAnsi="Times New Roman" w:cs="Times New Roman"/>
      <w:sz w:val="20"/>
      <w:szCs w:val="20"/>
      <w:lang w:eastAsia="de-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aperParagraphChar">
    <w:name w:val="PaperParagraph Char"/>
    <w:link w:val="PaperParagraph"/>
    <w:rsid w:val="00344317"/>
    <w:rPr>
      <w:rFonts w:ascii="Times New Roman" w:eastAsia="SimSun" w:hAnsi="Times New Roman" w:cs="Times New Roman"/>
      <w:sz w:val="24"/>
      <w:szCs w:val="24"/>
      <w:lang w:val="en-GB" w:eastAsia="zh-CN"/>
    </w:rPr>
  </w:style>
  <w:style w:type="paragraph" w:styleId="PlainText">
    <w:name w:val="Plain Text"/>
    <w:basedOn w:val="Normal"/>
    <w:link w:val="PlainTextChar"/>
    <w:uiPriority w:val="99"/>
    <w:unhideWhenUsed/>
    <w:rsid w:val="00344317"/>
    <w:rPr>
      <w:rFonts w:ascii="Consolas" w:eastAsia="Calibri" w:hAnsi="Consolas"/>
      <w:sz w:val="21"/>
      <w:szCs w:val="21"/>
      <w:lang w:val="x-none" w:eastAsia="en-US"/>
    </w:rPr>
  </w:style>
  <w:style w:type="character" w:customStyle="1" w:styleId="PlainTextChar">
    <w:name w:val="Plain Text Char"/>
    <w:basedOn w:val="DefaultParagraphFont"/>
    <w:link w:val="PlainText"/>
    <w:uiPriority w:val="99"/>
    <w:rsid w:val="00344317"/>
    <w:rPr>
      <w:rFonts w:ascii="Consolas" w:eastAsia="Calibri" w:hAnsi="Consolas" w:cs="Times New Roman"/>
      <w:sz w:val="21"/>
      <w:szCs w:val="21"/>
      <w:lang w:val="x-none"/>
    </w:rPr>
  </w:style>
  <w:style w:type="paragraph" w:styleId="Footer">
    <w:name w:val="footer"/>
    <w:basedOn w:val="Normal"/>
    <w:link w:val="FooterChar"/>
    <w:uiPriority w:val="99"/>
    <w:rsid w:val="00344317"/>
    <w:pPr>
      <w:tabs>
        <w:tab w:val="center" w:pos="4536"/>
        <w:tab w:val="right" w:pos="9072"/>
      </w:tabs>
    </w:pPr>
  </w:style>
  <w:style w:type="character" w:customStyle="1" w:styleId="FooterChar">
    <w:name w:val="Footer Char"/>
    <w:basedOn w:val="DefaultParagraphFont"/>
    <w:link w:val="Footer"/>
    <w:uiPriority w:val="99"/>
    <w:rsid w:val="00344317"/>
    <w:rPr>
      <w:rFonts w:ascii="Times New Roman" w:eastAsia="SimSun" w:hAnsi="Times New Roman" w:cs="Times New Roman"/>
      <w:sz w:val="24"/>
      <w:szCs w:val="24"/>
      <w:lang w:val="de-DE" w:eastAsia="zh-CN"/>
    </w:rPr>
  </w:style>
  <w:style w:type="paragraph" w:styleId="HTMLPreformatted">
    <w:name w:val="HTML Preformatted"/>
    <w:basedOn w:val="Normal"/>
    <w:link w:val="HTMLPreformattedChar"/>
    <w:rsid w:val="00344317"/>
    <w:rPr>
      <w:rFonts w:ascii="Courier New" w:hAnsi="Courier New"/>
      <w:sz w:val="20"/>
      <w:szCs w:val="20"/>
    </w:rPr>
  </w:style>
  <w:style w:type="character" w:customStyle="1" w:styleId="HTMLPreformattedChar">
    <w:name w:val="HTML Preformatted Char"/>
    <w:basedOn w:val="DefaultParagraphFont"/>
    <w:link w:val="HTMLPreformatted"/>
    <w:rsid w:val="00344317"/>
    <w:rPr>
      <w:rFonts w:ascii="Courier New" w:eastAsia="SimSun" w:hAnsi="Courier New" w:cs="Times New Roman"/>
      <w:sz w:val="20"/>
      <w:szCs w:val="20"/>
      <w:lang w:val="de-DE" w:eastAsia="zh-CN"/>
    </w:rPr>
  </w:style>
  <w:style w:type="character" w:styleId="FollowedHyperlink">
    <w:name w:val="FollowedHyperlink"/>
    <w:rsid w:val="00344317"/>
    <w:rPr>
      <w:color w:val="800080"/>
      <w:u w:val="single"/>
    </w:rPr>
  </w:style>
  <w:style w:type="paragraph" w:styleId="Revision">
    <w:name w:val="Revision"/>
    <w:hidden/>
    <w:uiPriority w:val="99"/>
    <w:semiHidden/>
    <w:rsid w:val="00344317"/>
    <w:pPr>
      <w:spacing w:after="0" w:line="240" w:lineRule="auto"/>
    </w:pPr>
    <w:rPr>
      <w:rFonts w:ascii="Times New Roman" w:eastAsia="SimSun" w:hAnsi="Times New Roman" w:cs="Times New Roman"/>
      <w:sz w:val="24"/>
      <w:szCs w:val="24"/>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317"/>
    <w:pPr>
      <w:spacing w:after="0" w:line="240" w:lineRule="auto"/>
    </w:pPr>
    <w:rPr>
      <w:rFonts w:ascii="Times New Roman" w:eastAsia="SimSun" w:hAnsi="Times New Roman" w:cs="Times New Roman"/>
      <w:sz w:val="24"/>
      <w:szCs w:val="24"/>
      <w:lang w:val="de-DE" w:eastAsia="zh-CN"/>
    </w:rPr>
  </w:style>
  <w:style w:type="paragraph" w:styleId="Heading1">
    <w:name w:val="heading 1"/>
    <w:basedOn w:val="Normal"/>
    <w:next w:val="Normal"/>
    <w:link w:val="Heading1Char"/>
    <w:autoRedefine/>
    <w:qFormat/>
    <w:rsid w:val="00F62860"/>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autoRedefine/>
    <w:unhideWhenUsed/>
    <w:qFormat/>
    <w:rsid w:val="00F62860"/>
    <w:pPr>
      <w:keepNext/>
      <w:keepLines/>
      <w:spacing w:before="200"/>
      <w:outlineLvl w:val="1"/>
    </w:pPr>
    <w:rPr>
      <w:rFonts w:eastAsiaTheme="majorEastAsia" w:cstheme="majorBidi"/>
      <w:b/>
      <w:bCs/>
      <w:sz w:val="26"/>
      <w:szCs w:val="26"/>
    </w:rPr>
  </w:style>
  <w:style w:type="paragraph" w:styleId="Heading3">
    <w:name w:val="heading 3"/>
    <w:basedOn w:val="Normal"/>
    <w:link w:val="Heading3Char"/>
    <w:qFormat/>
    <w:rsid w:val="0034431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2860"/>
    <w:rPr>
      <w:rFonts w:eastAsiaTheme="majorEastAsia" w:cstheme="majorBidi"/>
      <w:b/>
      <w:bCs/>
      <w:sz w:val="28"/>
      <w:szCs w:val="28"/>
      <w:lang w:val="de-DE"/>
    </w:rPr>
  </w:style>
  <w:style w:type="character" w:customStyle="1" w:styleId="Heading2Char">
    <w:name w:val="Heading 2 Char"/>
    <w:basedOn w:val="DefaultParagraphFont"/>
    <w:link w:val="Heading2"/>
    <w:rsid w:val="00F62860"/>
    <w:rPr>
      <w:rFonts w:eastAsiaTheme="majorEastAsia" w:cstheme="majorBidi"/>
      <w:b/>
      <w:bCs/>
      <w:sz w:val="26"/>
      <w:szCs w:val="26"/>
      <w:lang w:val="de-DE"/>
    </w:rPr>
  </w:style>
  <w:style w:type="character" w:customStyle="1" w:styleId="Heading3Char">
    <w:name w:val="Heading 3 Char"/>
    <w:basedOn w:val="DefaultParagraphFont"/>
    <w:link w:val="Heading3"/>
    <w:rsid w:val="00344317"/>
    <w:rPr>
      <w:rFonts w:ascii="Times New Roman" w:eastAsia="SimSun" w:hAnsi="Times New Roman" w:cs="Times New Roman"/>
      <w:b/>
      <w:bCs/>
      <w:sz w:val="27"/>
      <w:szCs w:val="27"/>
      <w:lang w:val="de-DE" w:eastAsia="zh-CN"/>
    </w:rPr>
  </w:style>
  <w:style w:type="paragraph" w:styleId="Header">
    <w:name w:val="header"/>
    <w:basedOn w:val="Normal"/>
    <w:link w:val="HeaderChar"/>
    <w:rsid w:val="00344317"/>
    <w:pPr>
      <w:tabs>
        <w:tab w:val="center" w:pos="4536"/>
        <w:tab w:val="right" w:pos="9072"/>
      </w:tabs>
    </w:pPr>
  </w:style>
  <w:style w:type="character" w:customStyle="1" w:styleId="HeaderChar">
    <w:name w:val="Header Char"/>
    <w:basedOn w:val="DefaultParagraphFont"/>
    <w:link w:val="Header"/>
    <w:rsid w:val="00344317"/>
    <w:rPr>
      <w:rFonts w:ascii="Times New Roman" w:eastAsia="SimSun" w:hAnsi="Times New Roman" w:cs="Times New Roman"/>
      <w:sz w:val="24"/>
      <w:szCs w:val="24"/>
      <w:lang w:val="de-DE" w:eastAsia="zh-CN"/>
    </w:rPr>
  </w:style>
  <w:style w:type="character" w:styleId="PageNumber">
    <w:name w:val="page number"/>
    <w:basedOn w:val="DefaultParagraphFont"/>
    <w:rsid w:val="00344317"/>
  </w:style>
  <w:style w:type="character" w:styleId="Emphasis">
    <w:name w:val="Emphasis"/>
    <w:qFormat/>
    <w:rsid w:val="00344317"/>
    <w:rPr>
      <w:i/>
      <w:iCs/>
    </w:rPr>
  </w:style>
  <w:style w:type="paragraph" w:styleId="NormalWeb">
    <w:name w:val="Normal (Web)"/>
    <w:basedOn w:val="Normal"/>
    <w:rsid w:val="00344317"/>
    <w:pPr>
      <w:spacing w:before="100" w:beforeAutospacing="1" w:after="100" w:afterAutospacing="1"/>
    </w:pPr>
  </w:style>
  <w:style w:type="paragraph" w:styleId="BalloonText">
    <w:name w:val="Balloon Text"/>
    <w:basedOn w:val="Normal"/>
    <w:link w:val="BalloonTextChar"/>
    <w:rsid w:val="00344317"/>
    <w:rPr>
      <w:rFonts w:ascii="Lucida Grande" w:hAnsi="Lucida Grande"/>
      <w:sz w:val="18"/>
      <w:szCs w:val="18"/>
    </w:rPr>
  </w:style>
  <w:style w:type="character" w:customStyle="1" w:styleId="BalloonTextChar">
    <w:name w:val="Balloon Text Char"/>
    <w:basedOn w:val="DefaultParagraphFont"/>
    <w:link w:val="BalloonText"/>
    <w:rsid w:val="00344317"/>
    <w:rPr>
      <w:rFonts w:ascii="Lucida Grande" w:eastAsia="SimSun" w:hAnsi="Lucida Grande" w:cs="Times New Roman"/>
      <w:sz w:val="18"/>
      <w:szCs w:val="18"/>
      <w:lang w:val="de-DE" w:eastAsia="zh-CN"/>
    </w:rPr>
  </w:style>
  <w:style w:type="character" w:styleId="CommentReference">
    <w:name w:val="annotation reference"/>
    <w:rsid w:val="00344317"/>
    <w:rPr>
      <w:sz w:val="18"/>
      <w:szCs w:val="18"/>
    </w:rPr>
  </w:style>
  <w:style w:type="paragraph" w:styleId="CommentText">
    <w:name w:val="annotation text"/>
    <w:basedOn w:val="Normal"/>
    <w:link w:val="CommentTextChar"/>
    <w:rsid w:val="00344317"/>
  </w:style>
  <w:style w:type="character" w:customStyle="1" w:styleId="CommentTextChar">
    <w:name w:val="Comment Text Char"/>
    <w:basedOn w:val="DefaultParagraphFont"/>
    <w:link w:val="CommentText"/>
    <w:rsid w:val="00344317"/>
    <w:rPr>
      <w:rFonts w:ascii="Times New Roman" w:eastAsia="SimSun" w:hAnsi="Times New Roman" w:cs="Times New Roman"/>
      <w:sz w:val="24"/>
      <w:szCs w:val="24"/>
      <w:lang w:val="de-DE" w:eastAsia="zh-CN"/>
    </w:rPr>
  </w:style>
  <w:style w:type="paragraph" w:styleId="CommentSubject">
    <w:name w:val="annotation subject"/>
    <w:basedOn w:val="CommentText"/>
    <w:next w:val="CommentText"/>
    <w:link w:val="CommentSubjectChar"/>
    <w:rsid w:val="00344317"/>
    <w:rPr>
      <w:b/>
      <w:bCs/>
    </w:rPr>
  </w:style>
  <w:style w:type="character" w:customStyle="1" w:styleId="CommentSubjectChar">
    <w:name w:val="Comment Subject Char"/>
    <w:basedOn w:val="CommentTextChar"/>
    <w:link w:val="CommentSubject"/>
    <w:rsid w:val="00344317"/>
    <w:rPr>
      <w:rFonts w:ascii="Times New Roman" w:eastAsia="SimSun" w:hAnsi="Times New Roman" w:cs="Times New Roman"/>
      <w:b/>
      <w:bCs/>
      <w:sz w:val="24"/>
      <w:szCs w:val="24"/>
      <w:lang w:val="de-DE" w:eastAsia="zh-CN"/>
    </w:rPr>
  </w:style>
  <w:style w:type="paragraph" w:styleId="FootnoteText">
    <w:name w:val="footnote text"/>
    <w:basedOn w:val="Normal"/>
    <w:link w:val="FootnoteTextChar"/>
    <w:uiPriority w:val="99"/>
    <w:semiHidden/>
    <w:rsid w:val="00344317"/>
    <w:rPr>
      <w:sz w:val="20"/>
      <w:szCs w:val="20"/>
    </w:rPr>
  </w:style>
  <w:style w:type="character" w:customStyle="1" w:styleId="FootnoteTextChar">
    <w:name w:val="Footnote Text Char"/>
    <w:basedOn w:val="DefaultParagraphFont"/>
    <w:link w:val="FootnoteText"/>
    <w:uiPriority w:val="99"/>
    <w:semiHidden/>
    <w:rsid w:val="00344317"/>
    <w:rPr>
      <w:rFonts w:ascii="Times New Roman" w:eastAsia="SimSun" w:hAnsi="Times New Roman" w:cs="Times New Roman"/>
      <w:sz w:val="20"/>
      <w:szCs w:val="20"/>
      <w:lang w:val="de-DE" w:eastAsia="zh-CN"/>
    </w:rPr>
  </w:style>
  <w:style w:type="character" w:styleId="FootnoteReference">
    <w:name w:val="footnote reference"/>
    <w:uiPriority w:val="99"/>
    <w:semiHidden/>
    <w:rsid w:val="00344317"/>
    <w:rPr>
      <w:vertAlign w:val="superscript"/>
    </w:rPr>
  </w:style>
  <w:style w:type="character" w:styleId="Hyperlink">
    <w:name w:val="Hyperlink"/>
    <w:rsid w:val="00344317"/>
    <w:rPr>
      <w:color w:val="0000FF"/>
      <w:u w:val="single"/>
    </w:rPr>
  </w:style>
  <w:style w:type="paragraph" w:customStyle="1" w:styleId="StandardohneEinzug">
    <w:name w:val="StandardohneEinzug"/>
    <w:basedOn w:val="Normal"/>
    <w:autoRedefine/>
    <w:rsid w:val="00344317"/>
    <w:pPr>
      <w:spacing w:line="360" w:lineRule="auto"/>
    </w:pPr>
    <w:rPr>
      <w:rFonts w:ascii="Garamond" w:eastAsia="Times New Roman" w:hAnsi="Garamond"/>
      <w:lang w:eastAsia="en-US"/>
    </w:rPr>
  </w:style>
  <w:style w:type="paragraph" w:customStyle="1" w:styleId="TextkrperPaper">
    <w:name w:val="TextkörperPaper"/>
    <w:basedOn w:val="Normal"/>
    <w:rsid w:val="00344317"/>
    <w:pPr>
      <w:overflowPunct w:val="0"/>
      <w:autoSpaceDE w:val="0"/>
      <w:autoSpaceDN w:val="0"/>
      <w:adjustRightInd w:val="0"/>
      <w:spacing w:after="120" w:line="360" w:lineRule="auto"/>
      <w:ind w:firstLine="709"/>
      <w:textAlignment w:val="baseline"/>
    </w:pPr>
    <w:rPr>
      <w:rFonts w:ascii="Garamond" w:eastAsia="Times New Roman" w:hAnsi="Garamond"/>
      <w:lang w:val="en-GB" w:eastAsia="de-DE"/>
    </w:rPr>
  </w:style>
  <w:style w:type="character" w:styleId="Strong">
    <w:name w:val="Strong"/>
    <w:qFormat/>
    <w:rsid w:val="00344317"/>
    <w:rPr>
      <w:b/>
      <w:bCs/>
    </w:rPr>
  </w:style>
  <w:style w:type="character" w:styleId="HTMLCite">
    <w:name w:val="HTML Cite"/>
    <w:rsid w:val="00344317"/>
    <w:rPr>
      <w:i/>
      <w:iCs/>
    </w:rPr>
  </w:style>
  <w:style w:type="paragraph" w:styleId="HTMLAddress">
    <w:name w:val="HTML Address"/>
    <w:basedOn w:val="Normal"/>
    <w:link w:val="HTMLAddressChar"/>
    <w:uiPriority w:val="99"/>
    <w:unhideWhenUsed/>
    <w:rsid w:val="00344317"/>
    <w:rPr>
      <w:rFonts w:eastAsia="Times New Roman"/>
      <w:i/>
      <w:iCs/>
      <w:lang w:val="x-none" w:eastAsia="x-none"/>
    </w:rPr>
  </w:style>
  <w:style w:type="character" w:customStyle="1" w:styleId="HTMLAddressChar">
    <w:name w:val="HTML Address Char"/>
    <w:basedOn w:val="DefaultParagraphFont"/>
    <w:link w:val="HTMLAddress"/>
    <w:uiPriority w:val="99"/>
    <w:rsid w:val="00344317"/>
    <w:rPr>
      <w:rFonts w:ascii="Times New Roman" w:eastAsia="Times New Roman" w:hAnsi="Times New Roman" w:cs="Times New Roman"/>
      <w:i/>
      <w:iCs/>
      <w:sz w:val="24"/>
      <w:szCs w:val="24"/>
      <w:lang w:val="x-none" w:eastAsia="x-none"/>
    </w:rPr>
  </w:style>
  <w:style w:type="paragraph" w:customStyle="1" w:styleId="PaperFirstParagraph">
    <w:name w:val="PaperFirstParagraph"/>
    <w:basedOn w:val="Normal"/>
    <w:link w:val="PaperFirstParagraphChar"/>
    <w:autoRedefine/>
    <w:qFormat/>
    <w:rsid w:val="00344317"/>
    <w:pPr>
      <w:spacing w:line="480" w:lineRule="auto"/>
    </w:pPr>
    <w:rPr>
      <w:lang w:val="en-GB"/>
    </w:rPr>
  </w:style>
  <w:style w:type="paragraph" w:customStyle="1" w:styleId="PaperParagraph">
    <w:name w:val="PaperParagraph"/>
    <w:basedOn w:val="Normal"/>
    <w:link w:val="PaperParagraphChar"/>
    <w:autoRedefine/>
    <w:qFormat/>
    <w:rsid w:val="00344317"/>
    <w:pPr>
      <w:spacing w:line="480" w:lineRule="auto"/>
      <w:ind w:firstLine="709"/>
    </w:pPr>
    <w:rPr>
      <w:lang w:val="en-GB"/>
    </w:rPr>
  </w:style>
  <w:style w:type="character" w:customStyle="1" w:styleId="PaperFirstParagraphChar">
    <w:name w:val="PaperFirstParagraph Char"/>
    <w:link w:val="PaperFirstParagraph"/>
    <w:rsid w:val="00344317"/>
    <w:rPr>
      <w:rFonts w:ascii="Times New Roman" w:eastAsia="SimSun" w:hAnsi="Times New Roman" w:cs="Times New Roman"/>
      <w:sz w:val="24"/>
      <w:szCs w:val="24"/>
      <w:lang w:val="en-GB" w:eastAsia="zh-CN"/>
    </w:rPr>
  </w:style>
  <w:style w:type="table" w:styleId="TableGrid">
    <w:name w:val="Table Grid"/>
    <w:basedOn w:val="TableNormal"/>
    <w:rsid w:val="00344317"/>
    <w:pPr>
      <w:spacing w:after="0" w:line="240" w:lineRule="auto"/>
    </w:pPr>
    <w:rPr>
      <w:rFonts w:ascii="Times New Roman" w:eastAsia="SimSun" w:hAnsi="Times New Roman" w:cs="Times New Roman"/>
      <w:sz w:val="20"/>
      <w:szCs w:val="20"/>
      <w:lang w:eastAsia="de-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aperParagraphChar">
    <w:name w:val="PaperParagraph Char"/>
    <w:link w:val="PaperParagraph"/>
    <w:rsid w:val="00344317"/>
    <w:rPr>
      <w:rFonts w:ascii="Times New Roman" w:eastAsia="SimSun" w:hAnsi="Times New Roman" w:cs="Times New Roman"/>
      <w:sz w:val="24"/>
      <w:szCs w:val="24"/>
      <w:lang w:val="en-GB" w:eastAsia="zh-CN"/>
    </w:rPr>
  </w:style>
  <w:style w:type="paragraph" w:styleId="PlainText">
    <w:name w:val="Plain Text"/>
    <w:basedOn w:val="Normal"/>
    <w:link w:val="PlainTextChar"/>
    <w:uiPriority w:val="99"/>
    <w:unhideWhenUsed/>
    <w:rsid w:val="00344317"/>
    <w:rPr>
      <w:rFonts w:ascii="Consolas" w:eastAsia="Calibri" w:hAnsi="Consolas"/>
      <w:sz w:val="21"/>
      <w:szCs w:val="21"/>
      <w:lang w:val="x-none" w:eastAsia="en-US"/>
    </w:rPr>
  </w:style>
  <w:style w:type="character" w:customStyle="1" w:styleId="PlainTextChar">
    <w:name w:val="Plain Text Char"/>
    <w:basedOn w:val="DefaultParagraphFont"/>
    <w:link w:val="PlainText"/>
    <w:uiPriority w:val="99"/>
    <w:rsid w:val="00344317"/>
    <w:rPr>
      <w:rFonts w:ascii="Consolas" w:eastAsia="Calibri" w:hAnsi="Consolas" w:cs="Times New Roman"/>
      <w:sz w:val="21"/>
      <w:szCs w:val="21"/>
      <w:lang w:val="x-none"/>
    </w:rPr>
  </w:style>
  <w:style w:type="paragraph" w:styleId="Footer">
    <w:name w:val="footer"/>
    <w:basedOn w:val="Normal"/>
    <w:link w:val="FooterChar"/>
    <w:uiPriority w:val="99"/>
    <w:rsid w:val="00344317"/>
    <w:pPr>
      <w:tabs>
        <w:tab w:val="center" w:pos="4536"/>
        <w:tab w:val="right" w:pos="9072"/>
      </w:tabs>
    </w:pPr>
  </w:style>
  <w:style w:type="character" w:customStyle="1" w:styleId="FooterChar">
    <w:name w:val="Footer Char"/>
    <w:basedOn w:val="DefaultParagraphFont"/>
    <w:link w:val="Footer"/>
    <w:uiPriority w:val="99"/>
    <w:rsid w:val="00344317"/>
    <w:rPr>
      <w:rFonts w:ascii="Times New Roman" w:eastAsia="SimSun" w:hAnsi="Times New Roman" w:cs="Times New Roman"/>
      <w:sz w:val="24"/>
      <w:szCs w:val="24"/>
      <w:lang w:val="de-DE" w:eastAsia="zh-CN"/>
    </w:rPr>
  </w:style>
  <w:style w:type="paragraph" w:styleId="HTMLPreformatted">
    <w:name w:val="HTML Preformatted"/>
    <w:basedOn w:val="Normal"/>
    <w:link w:val="HTMLPreformattedChar"/>
    <w:rsid w:val="00344317"/>
    <w:rPr>
      <w:rFonts w:ascii="Courier New" w:hAnsi="Courier New"/>
      <w:sz w:val="20"/>
      <w:szCs w:val="20"/>
    </w:rPr>
  </w:style>
  <w:style w:type="character" w:customStyle="1" w:styleId="HTMLPreformattedChar">
    <w:name w:val="HTML Preformatted Char"/>
    <w:basedOn w:val="DefaultParagraphFont"/>
    <w:link w:val="HTMLPreformatted"/>
    <w:rsid w:val="00344317"/>
    <w:rPr>
      <w:rFonts w:ascii="Courier New" w:eastAsia="SimSun" w:hAnsi="Courier New" w:cs="Times New Roman"/>
      <w:sz w:val="20"/>
      <w:szCs w:val="20"/>
      <w:lang w:val="de-DE" w:eastAsia="zh-CN"/>
    </w:rPr>
  </w:style>
  <w:style w:type="character" w:styleId="FollowedHyperlink">
    <w:name w:val="FollowedHyperlink"/>
    <w:rsid w:val="00344317"/>
    <w:rPr>
      <w:color w:val="800080"/>
      <w:u w:val="single"/>
    </w:rPr>
  </w:style>
  <w:style w:type="paragraph" w:styleId="Revision">
    <w:name w:val="Revision"/>
    <w:hidden/>
    <w:uiPriority w:val="99"/>
    <w:semiHidden/>
    <w:rsid w:val="00344317"/>
    <w:pPr>
      <w:spacing w:after="0" w:line="240" w:lineRule="auto"/>
    </w:pPr>
    <w:rPr>
      <w:rFonts w:ascii="Times New Roman" w:eastAsia="SimSun" w:hAnsi="Times New Roman" w:cs="Times New Roman"/>
      <w:sz w:val="24"/>
      <w:szCs w:val="24"/>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europe.org.uk/researc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3567</Words>
  <Characters>20332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ETH Zuerich</Company>
  <LinksUpToDate>false</LinksUpToDate>
  <CharactersWithSpaces>23852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bailers</dc:creator>
  <cp:lastModifiedBy>bailers</cp:lastModifiedBy>
  <cp:revision>2</cp:revision>
  <dcterms:created xsi:type="dcterms:W3CDTF">2014-02-06T20:38:00Z</dcterms:created>
  <dcterms:modified xsi:type="dcterms:W3CDTF">2014-02-06T20:38:00Z</dcterms:modified>
</cp:coreProperties>
</file>